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D4" w:rsidRPr="00AA6920" w:rsidRDefault="005862D4" w:rsidP="005862D4">
      <w:pPr>
        <w:snapToGrid w:val="0"/>
        <w:spacing w:line="240" w:lineRule="atLeast"/>
        <w:ind w:left="31680" w:hangingChars="100" w:firstLine="31680"/>
        <w:jc w:val="center"/>
        <w:rPr>
          <w:rFonts w:ascii="標楷體" w:eastAsia="標楷體" w:hAnsi="標楷體"/>
          <w:b/>
          <w:sz w:val="36"/>
          <w:szCs w:val="36"/>
        </w:rPr>
      </w:pPr>
      <w:r w:rsidRPr="00AA6920">
        <w:rPr>
          <w:rFonts w:ascii="標楷體" w:eastAsia="標楷體" w:hAnsi="標楷體" w:hint="eastAsia"/>
          <w:b/>
          <w:sz w:val="36"/>
          <w:szCs w:val="36"/>
        </w:rPr>
        <w:t>高級中等學校多元入學招生辦法</w:t>
      </w:r>
    </w:p>
    <w:p w:rsidR="005862D4" w:rsidRPr="00AA6920" w:rsidRDefault="005862D4" w:rsidP="001B2AC5">
      <w:pPr>
        <w:snapToGrid w:val="0"/>
        <w:spacing w:line="240" w:lineRule="atLeast"/>
        <w:ind w:left="31680" w:hangingChars="514" w:firstLine="31680"/>
        <w:jc w:val="both"/>
        <w:rPr>
          <w:rFonts w:ascii="標楷體" w:eastAsia="標楷體" w:hAnsi="標楷體" w:cs="細明體"/>
          <w:kern w:val="0"/>
          <w:sz w:val="28"/>
          <w:szCs w:val="28"/>
        </w:rPr>
      </w:pPr>
      <w:r w:rsidRPr="00AA6920">
        <w:rPr>
          <w:rFonts w:ascii="標楷體" w:eastAsia="標楷體" w:hAnsi="標楷體" w:hint="eastAsia"/>
          <w:sz w:val="28"/>
          <w:szCs w:val="28"/>
        </w:rPr>
        <w:t xml:space="preserve">第一條　　</w:t>
      </w:r>
      <w:r w:rsidRPr="00AA6920">
        <w:rPr>
          <w:rFonts w:ascii="標楷體" w:eastAsia="標楷體" w:hAnsi="標楷體" w:cs="細明體" w:hint="eastAsia"/>
          <w:kern w:val="0"/>
          <w:sz w:val="28"/>
          <w:szCs w:val="28"/>
        </w:rPr>
        <w:t>本辦法依</w:t>
      </w:r>
      <w:r w:rsidRPr="00AA6920">
        <w:rPr>
          <w:rFonts w:ascii="標楷體" w:eastAsia="標楷體" w:hAnsi="標楷體" w:hint="eastAsia"/>
          <w:sz w:val="28"/>
          <w:szCs w:val="28"/>
        </w:rPr>
        <w:t>高級中等教育法</w:t>
      </w:r>
      <w:r w:rsidRPr="00AA6920">
        <w:rPr>
          <w:rFonts w:ascii="標楷體" w:eastAsia="標楷體" w:hAnsi="標楷體"/>
          <w:sz w:val="28"/>
          <w:szCs w:val="28"/>
        </w:rPr>
        <w:t>(</w:t>
      </w:r>
      <w:r w:rsidRPr="00AA6920">
        <w:rPr>
          <w:rFonts w:ascii="標楷體" w:eastAsia="標楷體" w:hAnsi="標楷體" w:hint="eastAsia"/>
          <w:sz w:val="28"/>
          <w:szCs w:val="28"/>
        </w:rPr>
        <w:t>以下簡稱本法</w:t>
      </w:r>
      <w:r w:rsidRPr="00AA6920">
        <w:rPr>
          <w:rFonts w:ascii="標楷體" w:eastAsia="標楷體" w:hAnsi="標楷體"/>
          <w:sz w:val="28"/>
          <w:szCs w:val="28"/>
        </w:rPr>
        <w:t>)</w:t>
      </w:r>
      <w:r w:rsidRPr="00AA6920">
        <w:rPr>
          <w:rFonts w:ascii="標楷體" w:eastAsia="標楷體" w:hAnsi="標楷體" w:cs="細明體" w:hint="eastAsia"/>
          <w:kern w:val="0"/>
          <w:sz w:val="28"/>
          <w:szCs w:val="28"/>
        </w:rPr>
        <w:t>第四十條規定訂定之。</w:t>
      </w:r>
    </w:p>
    <w:p w:rsidR="005862D4" w:rsidRPr="00AA6920" w:rsidRDefault="005862D4" w:rsidP="005A5516">
      <w:pPr>
        <w:snapToGrid w:val="0"/>
        <w:spacing w:line="240" w:lineRule="atLeast"/>
        <w:jc w:val="both"/>
        <w:rPr>
          <w:rFonts w:ascii="標楷體" w:eastAsia="標楷體" w:hAnsi="標楷體"/>
          <w:sz w:val="28"/>
          <w:szCs w:val="28"/>
        </w:rPr>
      </w:pPr>
      <w:r w:rsidRPr="00AA6920">
        <w:rPr>
          <w:rFonts w:ascii="標楷體" w:eastAsia="標楷體" w:hAnsi="標楷體" w:hint="eastAsia"/>
          <w:sz w:val="28"/>
          <w:szCs w:val="28"/>
        </w:rPr>
        <w:t xml:space="preserve">第二條　　</w:t>
      </w:r>
      <w:r w:rsidRPr="001B2AC5">
        <w:rPr>
          <w:rFonts w:ascii="標楷體" w:eastAsia="標楷體" w:hAnsi="標楷體" w:cs="細明體" w:hint="eastAsia"/>
          <w:color w:val="FF0000"/>
          <w:kern w:val="0"/>
          <w:sz w:val="28"/>
          <w:szCs w:val="28"/>
        </w:rPr>
        <w:t>本辦法適用於一百零三學年度以後入學之學生。</w:t>
      </w:r>
    </w:p>
    <w:p w:rsidR="005862D4" w:rsidRPr="00AA6920" w:rsidRDefault="005862D4" w:rsidP="005A5516">
      <w:pPr>
        <w:snapToGrid w:val="0"/>
        <w:spacing w:line="240" w:lineRule="atLeast"/>
        <w:rPr>
          <w:rFonts w:ascii="標楷體" w:eastAsia="標楷體"/>
          <w:sz w:val="28"/>
          <w:szCs w:val="28"/>
        </w:rPr>
      </w:pPr>
      <w:r w:rsidRPr="00AA6920">
        <w:rPr>
          <w:rFonts w:ascii="標楷體" w:eastAsia="標楷體" w:hAnsi="標楷體" w:hint="eastAsia"/>
          <w:sz w:val="28"/>
          <w:szCs w:val="28"/>
        </w:rPr>
        <w:t xml:space="preserve">第三條　　</w:t>
      </w:r>
      <w:r w:rsidRPr="00AA6920">
        <w:rPr>
          <w:rFonts w:ascii="標楷體" w:eastAsia="標楷體" w:hint="eastAsia"/>
          <w:sz w:val="28"/>
          <w:szCs w:val="28"/>
        </w:rPr>
        <w:t>本辦法用詞，定義如下：</w:t>
      </w:r>
    </w:p>
    <w:p w:rsidR="005862D4" w:rsidRPr="00AA6920" w:rsidRDefault="005862D4" w:rsidP="001B2AC5">
      <w:pPr>
        <w:snapToGrid w:val="0"/>
        <w:spacing w:line="240" w:lineRule="atLeast"/>
        <w:ind w:leftChars="578" w:left="31680" w:hangingChars="184" w:firstLine="31680"/>
        <w:rPr>
          <w:rFonts w:ascii="標楷體" w:eastAsia="標楷體"/>
          <w:sz w:val="28"/>
          <w:szCs w:val="28"/>
        </w:rPr>
      </w:pPr>
      <w:r w:rsidRPr="00AA6920">
        <w:rPr>
          <w:rFonts w:ascii="標楷體" w:eastAsia="標楷體" w:hint="eastAsia"/>
          <w:sz w:val="28"/>
          <w:szCs w:val="28"/>
        </w:rPr>
        <w:t>一、多元入學：指取得國民中學畢業資格或具同等學力學生</w:t>
      </w:r>
      <w:r w:rsidRPr="00AA6920">
        <w:rPr>
          <w:rFonts w:ascii="標楷體" w:eastAsia="標楷體"/>
          <w:sz w:val="28"/>
          <w:szCs w:val="28"/>
        </w:rPr>
        <w:t>(</w:t>
      </w:r>
      <w:r w:rsidRPr="00AA6920">
        <w:rPr>
          <w:rFonts w:ascii="標楷體" w:eastAsia="標楷體" w:hint="eastAsia"/>
          <w:sz w:val="28"/>
          <w:szCs w:val="28"/>
        </w:rPr>
        <w:t>以下簡稱國中學生</w:t>
      </w:r>
      <w:r w:rsidRPr="00AA6920">
        <w:rPr>
          <w:rFonts w:ascii="標楷體" w:eastAsia="標楷體"/>
          <w:sz w:val="28"/>
          <w:szCs w:val="28"/>
        </w:rPr>
        <w:t>)</w:t>
      </w:r>
      <w:r w:rsidRPr="00AA6920">
        <w:rPr>
          <w:rFonts w:ascii="標楷體" w:eastAsia="標楷體" w:hint="eastAsia"/>
          <w:sz w:val="28"/>
          <w:szCs w:val="28"/>
        </w:rPr>
        <w:t>，依下列方式之一進入高級中等學校（以下簡稱學校）就讀：</w:t>
      </w:r>
    </w:p>
    <w:p w:rsidR="005862D4" w:rsidRPr="001B2AC5" w:rsidRDefault="005862D4" w:rsidP="001B2AC5">
      <w:pPr>
        <w:snapToGrid w:val="0"/>
        <w:spacing w:line="240" w:lineRule="atLeast"/>
        <w:ind w:leftChars="816" w:left="31680" w:hangingChars="205" w:firstLine="31680"/>
        <w:rPr>
          <w:rFonts w:ascii="標楷體" w:eastAsia="標楷體"/>
          <w:color w:val="FF0000"/>
          <w:sz w:val="28"/>
          <w:szCs w:val="28"/>
        </w:rPr>
      </w:pPr>
      <w:r w:rsidRPr="00AA6920">
        <w:rPr>
          <w:rFonts w:ascii="標楷體" w:eastAsia="標楷體"/>
          <w:sz w:val="28"/>
          <w:szCs w:val="28"/>
        </w:rPr>
        <w:t>(</w:t>
      </w:r>
      <w:r w:rsidRPr="00AA6920">
        <w:rPr>
          <w:rFonts w:ascii="標楷體" w:eastAsia="標楷體" w:hint="eastAsia"/>
          <w:sz w:val="28"/>
          <w:szCs w:val="28"/>
        </w:rPr>
        <w:t>一</w:t>
      </w:r>
      <w:r w:rsidRPr="00AA6920">
        <w:rPr>
          <w:rFonts w:ascii="標楷體" w:eastAsia="標楷體"/>
          <w:sz w:val="28"/>
          <w:szCs w:val="28"/>
        </w:rPr>
        <w:t>)</w:t>
      </w:r>
      <w:r w:rsidRPr="001B2AC5">
        <w:rPr>
          <w:rFonts w:ascii="標楷體" w:eastAsia="標楷體" w:hint="eastAsia"/>
          <w:color w:val="FF0000"/>
          <w:sz w:val="28"/>
          <w:szCs w:val="28"/>
        </w:rPr>
        <w:t>免試入學：免入學測驗，依性向、興趣、志願等，選擇直升或進入就學區內之學校就讀。</w:t>
      </w:r>
    </w:p>
    <w:p w:rsidR="005862D4" w:rsidRPr="001B2AC5" w:rsidRDefault="005862D4" w:rsidP="001B2AC5">
      <w:pPr>
        <w:snapToGrid w:val="0"/>
        <w:spacing w:line="240" w:lineRule="atLeast"/>
        <w:ind w:leftChars="816" w:left="31680" w:hangingChars="205" w:firstLine="31680"/>
        <w:rPr>
          <w:rFonts w:ascii="標楷體" w:eastAsia="標楷體"/>
          <w:color w:val="FF0000"/>
          <w:sz w:val="28"/>
          <w:szCs w:val="28"/>
        </w:rPr>
      </w:pPr>
      <w:r w:rsidRPr="00AA6920">
        <w:rPr>
          <w:rFonts w:ascii="標楷體" w:eastAsia="標楷體"/>
          <w:sz w:val="28"/>
          <w:szCs w:val="28"/>
        </w:rPr>
        <w:t>(</w:t>
      </w:r>
      <w:r w:rsidRPr="00AA6920">
        <w:rPr>
          <w:rFonts w:ascii="標楷體" w:eastAsia="標楷體" w:hint="eastAsia"/>
          <w:sz w:val="28"/>
          <w:szCs w:val="28"/>
        </w:rPr>
        <w:t>二</w:t>
      </w:r>
      <w:r w:rsidRPr="00AA6920">
        <w:rPr>
          <w:rFonts w:ascii="標楷體" w:eastAsia="標楷體"/>
          <w:sz w:val="28"/>
          <w:szCs w:val="28"/>
        </w:rPr>
        <w:t>)</w:t>
      </w:r>
      <w:r w:rsidRPr="001B2AC5">
        <w:rPr>
          <w:rFonts w:ascii="標楷體" w:eastAsia="標楷體" w:hint="eastAsia"/>
          <w:color w:val="FF0000"/>
          <w:sz w:val="28"/>
          <w:szCs w:val="28"/>
        </w:rPr>
        <w:t>特色招生入學：依其術科或學科能力，分別以術科甄選或學科考試分發方式，進入辦理特色招生之學校就讀。</w:t>
      </w:r>
    </w:p>
    <w:p w:rsidR="005862D4" w:rsidRPr="00AA6920" w:rsidRDefault="005862D4" w:rsidP="001B2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578" w:left="31680" w:hangingChars="184" w:firstLine="31680"/>
        <w:jc w:val="both"/>
        <w:rPr>
          <w:rFonts w:ascii="標楷體" w:eastAsia="標楷體" w:hAnsi="標楷體"/>
          <w:sz w:val="28"/>
          <w:szCs w:val="28"/>
        </w:rPr>
      </w:pPr>
      <w:r w:rsidRPr="00AA6920">
        <w:rPr>
          <w:rFonts w:ascii="標楷體" w:eastAsia="標楷體" w:hint="eastAsia"/>
          <w:sz w:val="28"/>
          <w:szCs w:val="28"/>
        </w:rPr>
        <w:t>二、就學區：指直轄市、縣</w:t>
      </w:r>
      <w:r w:rsidRPr="00AA6920">
        <w:rPr>
          <w:rFonts w:ascii="標楷體" w:eastAsia="標楷體"/>
          <w:sz w:val="28"/>
          <w:szCs w:val="28"/>
        </w:rPr>
        <w:t>(</w:t>
      </w:r>
      <w:r w:rsidRPr="00AA6920">
        <w:rPr>
          <w:rFonts w:ascii="標楷體" w:eastAsia="標楷體" w:hint="eastAsia"/>
          <w:sz w:val="28"/>
          <w:szCs w:val="28"/>
        </w:rPr>
        <w:t>市</w:t>
      </w:r>
      <w:r w:rsidRPr="00AA6920">
        <w:rPr>
          <w:rFonts w:ascii="標楷體" w:eastAsia="標楷體"/>
          <w:sz w:val="28"/>
          <w:szCs w:val="28"/>
        </w:rPr>
        <w:t>)</w:t>
      </w:r>
      <w:r w:rsidRPr="00AA6920">
        <w:rPr>
          <w:rFonts w:ascii="標楷體" w:eastAsia="標楷體" w:hint="eastAsia"/>
          <w:sz w:val="28"/>
          <w:szCs w:val="28"/>
        </w:rPr>
        <w:t>主管機關以該直轄市、縣</w:t>
      </w:r>
      <w:r w:rsidRPr="00AA6920">
        <w:rPr>
          <w:rFonts w:ascii="標楷體" w:eastAsia="標楷體"/>
          <w:sz w:val="28"/>
          <w:szCs w:val="28"/>
        </w:rPr>
        <w:t>(</w:t>
      </w:r>
      <w:r w:rsidRPr="00AA6920">
        <w:rPr>
          <w:rFonts w:ascii="標楷體" w:eastAsia="標楷體" w:hint="eastAsia"/>
          <w:sz w:val="28"/>
          <w:szCs w:val="28"/>
        </w:rPr>
        <w:t>市</w:t>
      </w:r>
      <w:r w:rsidRPr="00AA6920">
        <w:rPr>
          <w:rFonts w:ascii="標楷體" w:eastAsia="標楷體"/>
          <w:sz w:val="28"/>
          <w:szCs w:val="28"/>
        </w:rPr>
        <w:t>)</w:t>
      </w:r>
      <w:r w:rsidRPr="00AA6920">
        <w:rPr>
          <w:rFonts w:ascii="標楷體" w:eastAsia="標楷體" w:hint="eastAsia"/>
          <w:sz w:val="28"/>
          <w:szCs w:val="28"/>
        </w:rPr>
        <w:t>個別或聯合之行政轄區為範圍所劃定，並經中央主管機關核定，供該區域之國中學生選擇免試入學，或核定該區域之學校辦理特色招生，供全國國中學生選擇特色招生入學之就學區域。</w:t>
      </w:r>
    </w:p>
    <w:p w:rsidR="005862D4" w:rsidRPr="00AA6920" w:rsidRDefault="005862D4" w:rsidP="001B2AC5">
      <w:pPr>
        <w:snapToGrid w:val="0"/>
        <w:spacing w:line="240" w:lineRule="atLeast"/>
        <w:ind w:leftChars="-20" w:left="31680" w:hangingChars="115" w:firstLine="31680"/>
        <w:jc w:val="both"/>
        <w:rPr>
          <w:rFonts w:ascii="標楷體" w:eastAsia="標楷體" w:hAnsi="標楷體"/>
          <w:sz w:val="28"/>
          <w:szCs w:val="28"/>
        </w:rPr>
      </w:pPr>
      <w:r w:rsidRPr="00AA6920">
        <w:rPr>
          <w:rFonts w:ascii="標楷體" w:eastAsia="標楷體" w:hAnsi="標楷體" w:cs="細明體" w:hint="eastAsia"/>
          <w:kern w:val="0"/>
          <w:sz w:val="28"/>
          <w:szCs w:val="28"/>
        </w:rPr>
        <w:t>第四條</w:t>
      </w:r>
      <w:r w:rsidRPr="00AA6920">
        <w:rPr>
          <w:rFonts w:ascii="標楷體" w:eastAsia="標楷體" w:hAnsi="標楷體" w:cs="細明體"/>
          <w:kern w:val="0"/>
          <w:sz w:val="28"/>
          <w:szCs w:val="28"/>
        </w:rPr>
        <w:t xml:space="preserve">    </w:t>
      </w:r>
      <w:r w:rsidRPr="00AA6920">
        <w:rPr>
          <w:rFonts w:ascii="標楷體" w:eastAsia="標楷體" w:hAnsi="標楷體" w:hint="eastAsia"/>
          <w:sz w:val="28"/>
          <w:szCs w:val="28"/>
        </w:rPr>
        <w:t>就學區之劃定，應考量下列因素：</w:t>
      </w:r>
    </w:p>
    <w:p w:rsidR="005862D4" w:rsidRPr="00AA6920" w:rsidRDefault="005862D4" w:rsidP="001B2AC5">
      <w:pPr>
        <w:snapToGrid w:val="0"/>
        <w:spacing w:line="240" w:lineRule="atLeast"/>
        <w:ind w:leftChars="444" w:left="31680" w:hangingChars="340" w:firstLine="31680"/>
        <w:jc w:val="both"/>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一、新生入學來源：近三年入學各學校之國民中學畢業生學生數。</w:t>
      </w:r>
    </w:p>
    <w:p w:rsidR="005862D4" w:rsidRPr="00AA6920" w:rsidRDefault="005862D4" w:rsidP="001B2AC5">
      <w:pPr>
        <w:snapToGrid w:val="0"/>
        <w:spacing w:line="240" w:lineRule="atLeast"/>
        <w:ind w:leftChars="444" w:left="31680" w:hangingChars="340" w:firstLine="31680"/>
        <w:jc w:val="both"/>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二、區域共同生活圈：因歷史發展、地理區位或社會文化所形成之共同生活網絡範圍。</w:t>
      </w:r>
    </w:p>
    <w:p w:rsidR="005862D4" w:rsidRPr="00AA6920" w:rsidRDefault="005862D4" w:rsidP="001B2AC5">
      <w:pPr>
        <w:snapToGrid w:val="0"/>
        <w:spacing w:line="240" w:lineRule="atLeast"/>
        <w:ind w:leftChars="444" w:left="31680" w:hangingChars="340" w:firstLine="31680"/>
        <w:jc w:val="both"/>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三、交通便利性：區域公共交通網絡之連結及便利情形。</w:t>
      </w:r>
    </w:p>
    <w:p w:rsidR="005862D4" w:rsidRPr="00AA6920" w:rsidRDefault="005862D4" w:rsidP="001B2AC5">
      <w:pPr>
        <w:snapToGrid w:val="0"/>
        <w:spacing w:line="240" w:lineRule="atLeast"/>
        <w:ind w:leftChars="444" w:left="31680" w:hangingChars="340" w:firstLine="31680"/>
        <w:jc w:val="both"/>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四、學校類型及分布：本法第五條各類型學校分布之完整性，或學生適性選擇之充分性。</w:t>
      </w:r>
    </w:p>
    <w:p w:rsidR="005862D4" w:rsidRPr="00AA6920" w:rsidRDefault="005862D4" w:rsidP="001B2AC5">
      <w:pPr>
        <w:snapToGrid w:val="0"/>
        <w:spacing w:line="240" w:lineRule="atLeast"/>
        <w:ind w:leftChars="444" w:left="31680" w:hangingChars="340" w:firstLine="31680"/>
        <w:jc w:val="both"/>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五、其他直轄市、縣</w:t>
      </w:r>
      <w:r w:rsidRPr="00AA6920">
        <w:rPr>
          <w:rFonts w:ascii="標楷體" w:eastAsia="標楷體" w:hAnsi="標楷體"/>
          <w:sz w:val="28"/>
          <w:szCs w:val="28"/>
        </w:rPr>
        <w:t>(</w:t>
      </w:r>
      <w:r w:rsidRPr="00AA6920">
        <w:rPr>
          <w:rFonts w:ascii="標楷體" w:eastAsia="標楷體" w:hAnsi="標楷體" w:hint="eastAsia"/>
          <w:sz w:val="28"/>
          <w:szCs w:val="28"/>
        </w:rPr>
        <w:t>市</w:t>
      </w:r>
      <w:r w:rsidRPr="00AA6920">
        <w:rPr>
          <w:rFonts w:ascii="標楷體" w:eastAsia="標楷體" w:hAnsi="標楷體"/>
          <w:sz w:val="28"/>
          <w:szCs w:val="28"/>
        </w:rPr>
        <w:t>)</w:t>
      </w:r>
      <w:r w:rsidRPr="00AA6920">
        <w:rPr>
          <w:rFonts w:ascii="標楷體" w:eastAsia="標楷體" w:hAnsi="標楷體" w:hint="eastAsia"/>
          <w:sz w:val="28"/>
          <w:szCs w:val="28"/>
        </w:rPr>
        <w:t>主管機關認定之因素。</w:t>
      </w:r>
    </w:p>
    <w:p w:rsidR="005862D4" w:rsidRPr="00AA6920" w:rsidRDefault="005862D4" w:rsidP="001B2AC5">
      <w:pPr>
        <w:tabs>
          <w:tab w:val="left" w:pos="1148"/>
        </w:tabs>
        <w:snapToGrid w:val="0"/>
        <w:spacing w:line="240" w:lineRule="atLeast"/>
        <w:ind w:leftChars="319" w:left="31680" w:hangingChars="205" w:firstLine="31680"/>
        <w:jc w:val="both"/>
        <w:rPr>
          <w:rFonts w:ascii="標楷體" w:eastAsia="標楷體" w:hAnsi="標楷體"/>
          <w:sz w:val="28"/>
          <w:szCs w:val="28"/>
        </w:rPr>
      </w:pPr>
      <w:r w:rsidRPr="00AA6920">
        <w:rPr>
          <w:rFonts w:ascii="標楷體" w:eastAsia="標楷體" w:hAnsi="標楷體" w:hint="eastAsia"/>
          <w:sz w:val="28"/>
          <w:szCs w:val="28"/>
        </w:rPr>
        <w:t xml:space="preserve">　　就學區內之國民中學所在地緊鄰其他就學區之鄉</w:t>
      </w:r>
      <w:r w:rsidRPr="00AA6920">
        <w:rPr>
          <w:rFonts w:ascii="標楷體" w:eastAsia="標楷體" w:hAnsi="標楷體"/>
          <w:sz w:val="28"/>
          <w:szCs w:val="28"/>
        </w:rPr>
        <w:t>(</w:t>
      </w:r>
      <w:r w:rsidRPr="00AA6920">
        <w:rPr>
          <w:rFonts w:ascii="標楷體" w:eastAsia="標楷體" w:hAnsi="標楷體" w:hint="eastAsia"/>
          <w:sz w:val="28"/>
          <w:szCs w:val="28"/>
        </w:rPr>
        <w:t>鎮、市、區</w:t>
      </w:r>
      <w:r w:rsidRPr="00AA6920">
        <w:rPr>
          <w:rFonts w:ascii="標楷體" w:eastAsia="標楷體" w:hAnsi="標楷體"/>
          <w:sz w:val="28"/>
          <w:szCs w:val="28"/>
        </w:rPr>
        <w:t>)</w:t>
      </w:r>
      <w:r w:rsidRPr="00AA6920">
        <w:rPr>
          <w:rFonts w:ascii="標楷體" w:eastAsia="標楷體" w:hAnsi="標楷體" w:hint="eastAsia"/>
          <w:sz w:val="28"/>
          <w:szCs w:val="28"/>
        </w:rPr>
        <w:t>者，得由各該就學區之直轄市、縣</w:t>
      </w:r>
      <w:r w:rsidRPr="00AA6920">
        <w:rPr>
          <w:rFonts w:ascii="標楷體" w:eastAsia="標楷體" w:hAnsi="標楷體"/>
          <w:sz w:val="28"/>
          <w:szCs w:val="28"/>
        </w:rPr>
        <w:t>(</w:t>
      </w:r>
      <w:r w:rsidRPr="00AA6920">
        <w:rPr>
          <w:rFonts w:ascii="標楷體" w:eastAsia="標楷體" w:hAnsi="標楷體" w:hint="eastAsia"/>
          <w:sz w:val="28"/>
          <w:szCs w:val="28"/>
        </w:rPr>
        <w:t>市</w:t>
      </w:r>
      <w:r w:rsidRPr="00AA6920">
        <w:rPr>
          <w:rFonts w:ascii="標楷體" w:eastAsia="標楷體" w:hAnsi="標楷體"/>
          <w:sz w:val="28"/>
          <w:szCs w:val="28"/>
        </w:rPr>
        <w:t>)</w:t>
      </w:r>
      <w:r w:rsidRPr="00AA6920">
        <w:rPr>
          <w:rFonts w:ascii="標楷體" w:eastAsia="標楷體" w:hAnsi="標楷體" w:hint="eastAsia"/>
          <w:sz w:val="28"/>
          <w:szCs w:val="28"/>
        </w:rPr>
        <w:t>主管機關，依前項規定協商後，將該緊鄰鄉</w:t>
      </w:r>
      <w:r w:rsidRPr="00AA6920">
        <w:rPr>
          <w:rFonts w:ascii="標楷體" w:eastAsia="標楷體" w:hAnsi="標楷體"/>
          <w:sz w:val="28"/>
          <w:szCs w:val="28"/>
        </w:rPr>
        <w:t>(</w:t>
      </w:r>
      <w:r w:rsidRPr="00AA6920">
        <w:rPr>
          <w:rFonts w:ascii="標楷體" w:eastAsia="標楷體" w:hAnsi="標楷體" w:hint="eastAsia"/>
          <w:sz w:val="28"/>
          <w:szCs w:val="28"/>
        </w:rPr>
        <w:t>鎮、市、區</w:t>
      </w:r>
      <w:r w:rsidRPr="00AA6920">
        <w:rPr>
          <w:rFonts w:ascii="標楷體" w:eastAsia="標楷體" w:hAnsi="標楷體"/>
          <w:sz w:val="28"/>
          <w:szCs w:val="28"/>
        </w:rPr>
        <w:t>)</w:t>
      </w:r>
      <w:r w:rsidRPr="00AA6920">
        <w:rPr>
          <w:rFonts w:ascii="標楷體" w:eastAsia="標楷體" w:hAnsi="標楷體" w:hint="eastAsia"/>
          <w:sz w:val="28"/>
          <w:szCs w:val="28"/>
        </w:rPr>
        <w:t>或其所屬就學區，劃定為該國民中學之共同就學區。</w:t>
      </w:r>
    </w:p>
    <w:p w:rsidR="005862D4" w:rsidRPr="00AA6920" w:rsidRDefault="005862D4" w:rsidP="001B2AC5">
      <w:pPr>
        <w:pStyle w:val="BodyTextIndent3"/>
        <w:tabs>
          <w:tab w:val="left" w:pos="266"/>
        </w:tabs>
        <w:snapToGrid w:val="0"/>
        <w:spacing w:line="240" w:lineRule="atLeast"/>
        <w:ind w:leftChars="-23" w:left="31680" w:hangingChars="95" w:firstLine="31680"/>
        <w:rPr>
          <w:sz w:val="28"/>
          <w:szCs w:val="28"/>
        </w:rPr>
      </w:pPr>
      <w:r w:rsidRPr="00AA6920">
        <w:rPr>
          <w:rFonts w:cs="細明體" w:hint="eastAsia"/>
          <w:kern w:val="0"/>
          <w:sz w:val="28"/>
          <w:szCs w:val="28"/>
        </w:rPr>
        <w:t>第五條</w:t>
      </w:r>
      <w:r w:rsidRPr="00AA6920">
        <w:rPr>
          <w:rFonts w:cs="細明體"/>
          <w:kern w:val="0"/>
          <w:sz w:val="28"/>
          <w:szCs w:val="28"/>
        </w:rPr>
        <w:t xml:space="preserve">    </w:t>
      </w:r>
      <w:r w:rsidRPr="00AA6920">
        <w:rPr>
          <w:rFonts w:hint="eastAsia"/>
          <w:sz w:val="28"/>
          <w:szCs w:val="28"/>
        </w:rPr>
        <w:t>就學區之劃定程序如下：</w:t>
      </w:r>
    </w:p>
    <w:p w:rsidR="005862D4" w:rsidRPr="00AA6920" w:rsidRDefault="005862D4" w:rsidP="001B2AC5">
      <w:pPr>
        <w:pStyle w:val="BodyTextIndent3"/>
        <w:tabs>
          <w:tab w:val="left" w:pos="482"/>
        </w:tabs>
        <w:snapToGrid w:val="0"/>
        <w:spacing w:line="240" w:lineRule="atLeast"/>
        <w:ind w:leftChars="576" w:left="31680" w:hangingChars="211" w:firstLine="31680"/>
        <w:rPr>
          <w:sz w:val="28"/>
          <w:szCs w:val="28"/>
        </w:rPr>
      </w:pPr>
      <w:r w:rsidRPr="00AA6920">
        <w:rPr>
          <w:rFonts w:hint="eastAsia"/>
          <w:sz w:val="28"/>
          <w:szCs w:val="28"/>
        </w:rPr>
        <w:t>一、直轄市、縣</w:t>
      </w:r>
      <w:r w:rsidRPr="00AA6920">
        <w:rPr>
          <w:sz w:val="28"/>
          <w:szCs w:val="28"/>
        </w:rPr>
        <w:t>(</w:t>
      </w:r>
      <w:r w:rsidRPr="00AA6920">
        <w:rPr>
          <w:rFonts w:hint="eastAsia"/>
          <w:sz w:val="28"/>
          <w:szCs w:val="28"/>
        </w:rPr>
        <w:t>市</w:t>
      </w:r>
      <w:r w:rsidRPr="00AA6920">
        <w:rPr>
          <w:sz w:val="28"/>
          <w:szCs w:val="28"/>
        </w:rPr>
        <w:t>)</w:t>
      </w:r>
      <w:r w:rsidRPr="00AA6920">
        <w:rPr>
          <w:rFonts w:hint="eastAsia"/>
          <w:sz w:val="28"/>
          <w:szCs w:val="28"/>
        </w:rPr>
        <w:t>主管機關應於辦理招生前一年之六月十日前，依前條第一項規定，自行或聯合其他直轄市、縣</w:t>
      </w:r>
      <w:r w:rsidRPr="00AA6920">
        <w:rPr>
          <w:sz w:val="28"/>
          <w:szCs w:val="28"/>
        </w:rPr>
        <w:t>(</w:t>
      </w:r>
      <w:r w:rsidRPr="00AA6920">
        <w:rPr>
          <w:rFonts w:hint="eastAsia"/>
          <w:sz w:val="28"/>
          <w:szCs w:val="28"/>
        </w:rPr>
        <w:t>市</w:t>
      </w:r>
      <w:r w:rsidRPr="00AA6920">
        <w:rPr>
          <w:sz w:val="28"/>
          <w:szCs w:val="28"/>
        </w:rPr>
        <w:t>)</w:t>
      </w:r>
      <w:r w:rsidRPr="00AA6920">
        <w:rPr>
          <w:rFonts w:hint="eastAsia"/>
          <w:sz w:val="28"/>
          <w:szCs w:val="28"/>
        </w:rPr>
        <w:t>主管機關共同劃定就學區，報中央主管機關核定。直轄市、縣</w:t>
      </w:r>
      <w:r w:rsidRPr="00AA6920">
        <w:rPr>
          <w:sz w:val="28"/>
          <w:szCs w:val="28"/>
        </w:rPr>
        <w:t>(</w:t>
      </w:r>
      <w:r w:rsidRPr="00AA6920">
        <w:rPr>
          <w:rFonts w:hint="eastAsia"/>
          <w:sz w:val="28"/>
          <w:szCs w:val="28"/>
        </w:rPr>
        <w:t>市</w:t>
      </w:r>
      <w:r w:rsidRPr="00AA6920">
        <w:rPr>
          <w:sz w:val="28"/>
          <w:szCs w:val="28"/>
        </w:rPr>
        <w:t>)</w:t>
      </w:r>
      <w:r w:rsidRPr="00AA6920">
        <w:rPr>
          <w:rFonts w:hint="eastAsia"/>
          <w:sz w:val="28"/>
          <w:szCs w:val="28"/>
        </w:rPr>
        <w:t>主管機關於劃定階段，得報中央主管機關協助及調處。</w:t>
      </w:r>
    </w:p>
    <w:p w:rsidR="005862D4" w:rsidRPr="00AA6920" w:rsidRDefault="005862D4" w:rsidP="001B2AC5">
      <w:pPr>
        <w:pStyle w:val="BodyTextIndent3"/>
        <w:tabs>
          <w:tab w:val="left" w:pos="482"/>
        </w:tabs>
        <w:snapToGrid w:val="0"/>
        <w:spacing w:line="240" w:lineRule="atLeast"/>
        <w:ind w:leftChars="576" w:left="31680" w:hangingChars="211" w:firstLine="31680"/>
        <w:rPr>
          <w:sz w:val="28"/>
          <w:szCs w:val="28"/>
        </w:rPr>
      </w:pPr>
      <w:r w:rsidRPr="00AA6920">
        <w:rPr>
          <w:rFonts w:hint="eastAsia"/>
          <w:sz w:val="28"/>
          <w:szCs w:val="28"/>
        </w:rPr>
        <w:t>二、中央主管機關於完成前款就學區之核定前，得邀集相關直轄市、縣</w:t>
      </w:r>
      <w:r w:rsidRPr="00AA6920">
        <w:rPr>
          <w:sz w:val="28"/>
          <w:szCs w:val="28"/>
        </w:rPr>
        <w:t>(</w:t>
      </w:r>
      <w:r w:rsidRPr="00AA6920">
        <w:rPr>
          <w:rFonts w:hint="eastAsia"/>
          <w:sz w:val="28"/>
          <w:szCs w:val="28"/>
        </w:rPr>
        <w:t>市</w:t>
      </w:r>
      <w:r w:rsidRPr="00AA6920">
        <w:rPr>
          <w:sz w:val="28"/>
          <w:szCs w:val="28"/>
        </w:rPr>
        <w:t>)</w:t>
      </w:r>
      <w:r w:rsidRPr="00AA6920">
        <w:rPr>
          <w:rFonts w:hint="eastAsia"/>
          <w:sz w:val="28"/>
          <w:szCs w:val="28"/>
        </w:rPr>
        <w:t>主管機關、國民中學與高級中等學校代表及專家學者共同協商。</w:t>
      </w:r>
    </w:p>
    <w:p w:rsidR="005862D4" w:rsidRPr="00AA6920" w:rsidRDefault="005862D4" w:rsidP="001B2AC5">
      <w:pPr>
        <w:tabs>
          <w:tab w:val="left" w:pos="1260"/>
        </w:tabs>
        <w:snapToGrid w:val="0"/>
        <w:spacing w:line="240" w:lineRule="atLeast"/>
        <w:ind w:leftChars="576" w:left="31680" w:hangingChars="211" w:firstLine="31680"/>
        <w:jc w:val="both"/>
        <w:rPr>
          <w:rFonts w:ascii="標楷體" w:eastAsia="標楷體" w:hAnsi="標楷體" w:cs="細明體"/>
          <w:kern w:val="0"/>
          <w:sz w:val="28"/>
          <w:szCs w:val="28"/>
        </w:rPr>
      </w:pPr>
      <w:r w:rsidRPr="00AA6920">
        <w:rPr>
          <w:rFonts w:ascii="標楷體" w:eastAsia="標楷體" w:hAnsi="標楷體" w:hint="eastAsia"/>
          <w:sz w:val="28"/>
          <w:szCs w:val="28"/>
        </w:rPr>
        <w:t>三、直轄市、縣</w:t>
      </w:r>
      <w:r w:rsidRPr="00AA6920">
        <w:rPr>
          <w:rFonts w:ascii="標楷體" w:eastAsia="標楷體" w:hAnsi="標楷體"/>
          <w:sz w:val="28"/>
          <w:szCs w:val="28"/>
        </w:rPr>
        <w:t>(</w:t>
      </w:r>
      <w:r w:rsidRPr="00AA6920">
        <w:rPr>
          <w:rFonts w:ascii="標楷體" w:eastAsia="標楷體" w:hAnsi="標楷體" w:hint="eastAsia"/>
          <w:sz w:val="28"/>
          <w:szCs w:val="28"/>
        </w:rPr>
        <w:t>市</w:t>
      </w:r>
      <w:r w:rsidRPr="00AA6920">
        <w:rPr>
          <w:rFonts w:ascii="標楷體" w:eastAsia="標楷體" w:hAnsi="標楷體"/>
          <w:sz w:val="28"/>
          <w:szCs w:val="28"/>
        </w:rPr>
        <w:t>)</w:t>
      </w:r>
      <w:r w:rsidRPr="00AA6920">
        <w:rPr>
          <w:rFonts w:ascii="標楷體" w:eastAsia="標楷體" w:hAnsi="標楷體" w:hint="eastAsia"/>
          <w:sz w:val="28"/>
          <w:szCs w:val="28"/>
        </w:rPr>
        <w:t>主管機關應依中央主管機關之核定，於招生前一年之七月二十日前公告就學區。</w:t>
      </w:r>
    </w:p>
    <w:p w:rsidR="005862D4" w:rsidRPr="00AA6920" w:rsidRDefault="005862D4" w:rsidP="001B2AC5">
      <w:pPr>
        <w:snapToGrid w:val="0"/>
        <w:spacing w:line="240" w:lineRule="atLeast"/>
        <w:ind w:leftChars="-21" w:left="31680" w:hangingChars="105" w:firstLine="31680"/>
        <w:jc w:val="both"/>
        <w:rPr>
          <w:rFonts w:ascii="標楷體" w:eastAsia="標楷體" w:hAnsi="標楷體"/>
          <w:sz w:val="28"/>
          <w:szCs w:val="28"/>
        </w:rPr>
      </w:pPr>
      <w:r w:rsidRPr="00AA6920">
        <w:rPr>
          <w:rFonts w:ascii="標楷體" w:eastAsia="標楷體" w:hAnsi="標楷體" w:hint="eastAsia"/>
          <w:sz w:val="28"/>
          <w:szCs w:val="28"/>
        </w:rPr>
        <w:t>第六條</w:t>
      </w:r>
      <w:r w:rsidRPr="00AA6920">
        <w:rPr>
          <w:rFonts w:ascii="標楷體" w:eastAsia="標楷體" w:hAnsi="標楷體"/>
          <w:sz w:val="28"/>
          <w:szCs w:val="28"/>
        </w:rPr>
        <w:t xml:space="preserve">    </w:t>
      </w:r>
      <w:r w:rsidRPr="00AA6920">
        <w:rPr>
          <w:rFonts w:ascii="標楷體" w:eastAsia="標楷體" w:hAnsi="標楷體" w:hint="eastAsia"/>
          <w:sz w:val="28"/>
          <w:szCs w:val="28"/>
        </w:rPr>
        <w:t>免試入學之辦理方式如下：</w:t>
      </w:r>
    </w:p>
    <w:p w:rsidR="005862D4" w:rsidRPr="00AA6920" w:rsidRDefault="005862D4" w:rsidP="001B2AC5">
      <w:pPr>
        <w:tabs>
          <w:tab w:val="left" w:pos="432"/>
        </w:tabs>
        <w:snapToGrid w:val="0"/>
        <w:spacing w:line="240" w:lineRule="atLeast"/>
        <w:ind w:leftChars="566" w:left="31680" w:hangingChars="224" w:firstLine="31680"/>
        <w:jc w:val="both"/>
        <w:rPr>
          <w:rFonts w:ascii="標楷體" w:eastAsia="標楷體" w:hAnsi="標楷體"/>
          <w:bCs/>
          <w:sz w:val="28"/>
          <w:szCs w:val="28"/>
        </w:rPr>
      </w:pPr>
      <w:r w:rsidRPr="00AA6920">
        <w:rPr>
          <w:rFonts w:ascii="標楷體" w:eastAsia="標楷體" w:hAnsi="標楷體" w:hint="eastAsia"/>
          <w:bCs/>
          <w:sz w:val="28"/>
          <w:szCs w:val="28"/>
        </w:rPr>
        <w:t>一、</w:t>
      </w:r>
      <w:r w:rsidRPr="00AA6920">
        <w:rPr>
          <w:rFonts w:ascii="標楷體" w:eastAsia="標楷體" w:hint="eastAsia"/>
          <w:sz w:val="28"/>
          <w:szCs w:val="28"/>
        </w:rPr>
        <w:t>就學區之直轄市、縣（市）主管機關應會商區內學校各該主管機關，訂定該區免試入學作業要點，提直轄市、縣（市）教育審議委員會審議通過後實施，並報中央主管機關備查；就學區涉及二以上直轄市、縣（市）者，應自行協調以其中之一為主政機關，會商訂定該區免試入學作業要點。</w:t>
      </w:r>
    </w:p>
    <w:p w:rsidR="005862D4" w:rsidRPr="001B2AC5" w:rsidRDefault="005862D4" w:rsidP="001B2AC5">
      <w:pPr>
        <w:tabs>
          <w:tab w:val="left" w:pos="432"/>
        </w:tabs>
        <w:snapToGrid w:val="0"/>
        <w:spacing w:line="240" w:lineRule="atLeast"/>
        <w:ind w:leftChars="566" w:left="31680" w:hangingChars="224" w:firstLine="31680"/>
        <w:jc w:val="both"/>
        <w:rPr>
          <w:rFonts w:ascii="標楷體" w:eastAsia="標楷體" w:hAnsi="標楷體"/>
          <w:color w:val="FF0000"/>
          <w:sz w:val="28"/>
          <w:szCs w:val="28"/>
        </w:rPr>
      </w:pPr>
      <w:r w:rsidRPr="00AA6920">
        <w:rPr>
          <w:rFonts w:ascii="標楷體" w:eastAsia="標楷體" w:hAnsi="標楷體" w:hint="eastAsia"/>
          <w:sz w:val="28"/>
          <w:szCs w:val="28"/>
        </w:rPr>
        <w:t>二、</w:t>
      </w:r>
      <w:r w:rsidRPr="001B2AC5">
        <w:rPr>
          <w:rFonts w:ascii="標楷體" w:eastAsia="標楷體" w:hint="eastAsia"/>
          <w:color w:val="FF0000"/>
          <w:sz w:val="28"/>
          <w:szCs w:val="28"/>
        </w:rPr>
        <w:t>學校辦理免試入學，不得訂定申請條件。學生報名人數未超過學校核定招生名額者，全額錄取，超過者，採比序方式錄取；其比序項目及模式，應納入各區免試入學作業要點規定。</w:t>
      </w:r>
    </w:p>
    <w:p w:rsidR="005862D4" w:rsidRPr="00AA6920" w:rsidRDefault="005862D4" w:rsidP="001B2AC5">
      <w:pPr>
        <w:tabs>
          <w:tab w:val="left" w:pos="432"/>
        </w:tabs>
        <w:snapToGrid w:val="0"/>
        <w:spacing w:line="240" w:lineRule="atLeast"/>
        <w:ind w:leftChars="566" w:left="31680" w:hangingChars="224" w:firstLine="31680"/>
        <w:jc w:val="both"/>
        <w:rPr>
          <w:rFonts w:ascii="標楷體" w:eastAsia="標楷體" w:hAnsi="標楷體"/>
          <w:sz w:val="28"/>
          <w:szCs w:val="28"/>
        </w:rPr>
      </w:pPr>
      <w:r w:rsidRPr="00AA6920">
        <w:rPr>
          <w:rFonts w:ascii="標楷體" w:eastAsia="標楷體" w:hAnsi="標楷體" w:hint="eastAsia"/>
          <w:sz w:val="28"/>
          <w:szCs w:val="28"/>
        </w:rPr>
        <w:t>三、</w:t>
      </w:r>
      <w:r w:rsidRPr="00AA6920">
        <w:rPr>
          <w:rFonts w:ascii="標楷體" w:eastAsia="標楷體" w:hint="eastAsia"/>
          <w:sz w:val="28"/>
          <w:szCs w:val="28"/>
        </w:rPr>
        <w:t>前款比序，應符合下列規定：</w:t>
      </w:r>
    </w:p>
    <w:p w:rsidR="005862D4" w:rsidRPr="001B2AC5" w:rsidRDefault="005862D4" w:rsidP="001B2AC5">
      <w:pPr>
        <w:tabs>
          <w:tab w:val="left" w:pos="965"/>
        </w:tabs>
        <w:snapToGrid w:val="0"/>
        <w:spacing w:line="240" w:lineRule="atLeast"/>
        <w:ind w:leftChars="799" w:left="31680" w:hangingChars="215" w:firstLine="31680"/>
        <w:jc w:val="both"/>
        <w:rPr>
          <w:rFonts w:ascii="標楷體" w:eastAsia="標楷體" w:hAnsi="標楷體" w:cs="Tahoma"/>
          <w:color w:val="FF0000"/>
          <w:sz w:val="28"/>
          <w:szCs w:val="28"/>
        </w:rPr>
      </w:pPr>
      <w:r w:rsidRPr="00AA6920">
        <w:rPr>
          <w:rFonts w:ascii="標楷體" w:eastAsia="標楷體" w:hAnsi="標楷體"/>
          <w:sz w:val="28"/>
          <w:szCs w:val="28"/>
        </w:rPr>
        <w:t>(</w:t>
      </w:r>
      <w:r w:rsidRPr="00AA6920">
        <w:rPr>
          <w:rFonts w:ascii="標楷體" w:eastAsia="標楷體" w:hAnsi="標楷體" w:hint="eastAsia"/>
          <w:sz w:val="28"/>
          <w:szCs w:val="28"/>
        </w:rPr>
        <w:t>一</w:t>
      </w:r>
      <w:r w:rsidRPr="00AA6920">
        <w:rPr>
          <w:rFonts w:ascii="標楷體" w:eastAsia="標楷體" w:hAnsi="標楷體"/>
          <w:sz w:val="28"/>
          <w:szCs w:val="28"/>
        </w:rPr>
        <w:t>)</w:t>
      </w:r>
      <w:r w:rsidRPr="001B2AC5">
        <w:rPr>
          <w:rFonts w:ascii="標楷體" w:eastAsia="標楷體" w:hAnsi="標楷體" w:hint="eastAsia"/>
          <w:color w:val="FF0000"/>
          <w:sz w:val="28"/>
          <w:szCs w:val="28"/>
        </w:rPr>
        <w:t>比序項目，依本法第三十七條第四項規定，國民中小學九年一貫課程綱要所定健康與體育、藝術與人文、綜合活動三學習領域在校評量成績之及格與否，得予採計。其他語文、數學、社會、自然與生活科技等四學習領域在校評量成績，不得採計。</w:t>
      </w:r>
    </w:p>
    <w:p w:rsidR="005862D4" w:rsidRPr="00AA6920" w:rsidRDefault="005862D4" w:rsidP="001B2AC5">
      <w:pPr>
        <w:tabs>
          <w:tab w:val="left" w:pos="432"/>
        </w:tabs>
        <w:snapToGrid w:val="0"/>
        <w:spacing w:line="240" w:lineRule="atLeast"/>
        <w:ind w:leftChars="799" w:left="31680" w:hangingChars="215" w:firstLine="31680"/>
        <w:jc w:val="both"/>
        <w:rPr>
          <w:rFonts w:ascii="標楷體" w:eastAsia="標楷體" w:hAnsi="標楷體"/>
          <w:sz w:val="28"/>
          <w:szCs w:val="28"/>
        </w:rPr>
      </w:pPr>
      <w:r w:rsidRPr="00AA6920">
        <w:rPr>
          <w:rFonts w:ascii="標楷體" w:eastAsia="標楷體" w:hAnsi="標楷體" w:cs="Tahoma"/>
          <w:sz w:val="28"/>
          <w:szCs w:val="28"/>
        </w:rPr>
        <w:t>(</w:t>
      </w:r>
      <w:r w:rsidRPr="00AA6920">
        <w:rPr>
          <w:rFonts w:ascii="標楷體" w:eastAsia="標楷體" w:hAnsi="標楷體" w:cs="Tahoma" w:hint="eastAsia"/>
          <w:sz w:val="28"/>
          <w:szCs w:val="28"/>
        </w:rPr>
        <w:t>二</w:t>
      </w:r>
      <w:r w:rsidRPr="00AA6920">
        <w:rPr>
          <w:rFonts w:ascii="標楷體" w:eastAsia="標楷體" w:hAnsi="標楷體" w:cs="Tahoma"/>
          <w:sz w:val="28"/>
          <w:szCs w:val="28"/>
        </w:rPr>
        <w:t>)</w:t>
      </w:r>
      <w:r w:rsidRPr="001B2AC5">
        <w:rPr>
          <w:rFonts w:ascii="標楷體" w:eastAsia="標楷體" w:hAnsi="標楷體" w:hint="eastAsia"/>
          <w:color w:val="FF0000"/>
          <w:sz w:val="28"/>
          <w:szCs w:val="28"/>
        </w:rPr>
        <w:t>國中教育會考成績得列為比序項目。但其比序比重不得超過總分之三分之一。</w:t>
      </w:r>
    </w:p>
    <w:p w:rsidR="005862D4" w:rsidRPr="00AA6920" w:rsidRDefault="005862D4" w:rsidP="001B2AC5">
      <w:pPr>
        <w:tabs>
          <w:tab w:val="left" w:pos="432"/>
        </w:tabs>
        <w:snapToGrid w:val="0"/>
        <w:spacing w:line="240" w:lineRule="atLeast"/>
        <w:ind w:leftChars="566" w:left="31680" w:hangingChars="224" w:firstLine="31680"/>
        <w:jc w:val="both"/>
        <w:rPr>
          <w:rFonts w:ascii="標楷體" w:eastAsia="標楷體" w:hAnsi="標楷體"/>
          <w:sz w:val="28"/>
          <w:szCs w:val="28"/>
        </w:rPr>
      </w:pPr>
      <w:r w:rsidRPr="00AA6920">
        <w:rPr>
          <w:rFonts w:ascii="標楷體" w:eastAsia="標楷體" w:hAnsi="標楷體" w:hint="eastAsia"/>
          <w:sz w:val="28"/>
          <w:szCs w:val="28"/>
        </w:rPr>
        <w:t>四、學生經依前款規定比序，仍超額時，依下列方式全額錄取，不予抽籤：</w:t>
      </w:r>
    </w:p>
    <w:p w:rsidR="005862D4" w:rsidRPr="00AA6920" w:rsidRDefault="005862D4" w:rsidP="001B2AC5">
      <w:pPr>
        <w:tabs>
          <w:tab w:val="left" w:pos="432"/>
        </w:tabs>
        <w:snapToGrid w:val="0"/>
        <w:spacing w:line="240" w:lineRule="atLeast"/>
        <w:ind w:leftChars="776" w:left="31680" w:hangingChars="199" w:firstLine="31680"/>
        <w:jc w:val="both"/>
        <w:rPr>
          <w:rFonts w:ascii="標楷體" w:eastAsia="標楷體" w:hAnsi="標楷體"/>
          <w:sz w:val="28"/>
          <w:szCs w:val="28"/>
        </w:rPr>
      </w:pPr>
      <w:r w:rsidRPr="00AA6920">
        <w:rPr>
          <w:rFonts w:ascii="標楷體" w:eastAsia="標楷體" w:hAnsi="標楷體"/>
          <w:sz w:val="28"/>
          <w:szCs w:val="28"/>
        </w:rPr>
        <w:t>(</w:t>
      </w:r>
      <w:r w:rsidRPr="00AA6920">
        <w:rPr>
          <w:rFonts w:ascii="標楷體" w:eastAsia="標楷體" w:hAnsi="標楷體" w:hint="eastAsia"/>
          <w:sz w:val="28"/>
          <w:szCs w:val="28"/>
        </w:rPr>
        <w:t>一</w:t>
      </w:r>
      <w:r w:rsidRPr="00AA6920">
        <w:rPr>
          <w:rFonts w:ascii="標楷體" w:eastAsia="標楷體" w:hAnsi="標楷體"/>
          <w:sz w:val="28"/>
          <w:szCs w:val="28"/>
        </w:rPr>
        <w:t>)</w:t>
      </w:r>
      <w:r w:rsidRPr="00AA6920">
        <w:rPr>
          <w:rFonts w:ascii="標楷體" w:eastAsia="標楷體" w:hAnsi="標楷體" w:hint="eastAsia"/>
          <w:sz w:val="28"/>
          <w:szCs w:val="28"/>
        </w:rPr>
        <w:t>辦理特色招生考試分發入學或單獨招生之學校，其免試入學超額部分，由特色招生考試分發入學或單獨招生核定名額百分之五以內移列調整；調整後仍超額者，報各該主管機關核准，增加名額或為其他適當之處理。</w:t>
      </w:r>
    </w:p>
    <w:p w:rsidR="005862D4" w:rsidRPr="00AA6920" w:rsidRDefault="005862D4" w:rsidP="001B2AC5">
      <w:pPr>
        <w:tabs>
          <w:tab w:val="left" w:pos="1260"/>
        </w:tabs>
        <w:snapToGrid w:val="0"/>
        <w:spacing w:line="240" w:lineRule="atLeast"/>
        <w:ind w:leftChars="776" w:left="31680" w:hangingChars="199" w:firstLine="31680"/>
        <w:jc w:val="both"/>
        <w:rPr>
          <w:rFonts w:ascii="標楷體" w:eastAsia="標楷體" w:hAnsi="標楷體"/>
          <w:sz w:val="28"/>
          <w:szCs w:val="28"/>
        </w:rPr>
      </w:pPr>
      <w:r w:rsidRPr="00AA6920">
        <w:rPr>
          <w:rFonts w:ascii="標楷體" w:eastAsia="標楷體" w:hAnsi="標楷體"/>
          <w:sz w:val="28"/>
          <w:szCs w:val="28"/>
        </w:rPr>
        <w:t>(</w:t>
      </w:r>
      <w:r w:rsidRPr="00AA6920">
        <w:rPr>
          <w:rFonts w:ascii="標楷體" w:eastAsia="標楷體" w:hAnsi="標楷體" w:hint="eastAsia"/>
          <w:sz w:val="28"/>
          <w:szCs w:val="28"/>
        </w:rPr>
        <w:t>二</w:t>
      </w:r>
      <w:r w:rsidRPr="00AA6920">
        <w:rPr>
          <w:rFonts w:ascii="標楷體" w:eastAsia="標楷體" w:hAnsi="標楷體"/>
          <w:sz w:val="28"/>
          <w:szCs w:val="28"/>
        </w:rPr>
        <w:t>)</w:t>
      </w:r>
      <w:r w:rsidRPr="00AA6920">
        <w:rPr>
          <w:rFonts w:ascii="標楷體" w:eastAsia="標楷體" w:hAnsi="標楷體" w:hint="eastAsia"/>
          <w:sz w:val="28"/>
          <w:szCs w:val="28"/>
        </w:rPr>
        <w:t>未辦理特色招生考試分發入學之學校，逕報各該主管機關核准，增加名額或為其他適當之處理。</w:t>
      </w:r>
    </w:p>
    <w:p w:rsidR="005862D4" w:rsidRPr="00AA6920" w:rsidRDefault="005862D4" w:rsidP="001B2AC5">
      <w:pPr>
        <w:tabs>
          <w:tab w:val="left" w:pos="1400"/>
        </w:tabs>
        <w:snapToGrid w:val="0"/>
        <w:spacing w:line="240" w:lineRule="atLeast"/>
        <w:ind w:left="31680" w:hangingChars="510" w:firstLine="31680"/>
        <w:jc w:val="both"/>
        <w:rPr>
          <w:rFonts w:ascii="標楷體" w:eastAsia="標楷體" w:hAnsi="標楷體"/>
          <w:sz w:val="28"/>
          <w:szCs w:val="28"/>
          <w:u w:val="single"/>
        </w:rPr>
      </w:pPr>
      <w:r w:rsidRPr="00AA6920">
        <w:rPr>
          <w:rFonts w:ascii="標楷體" w:eastAsia="標楷體" w:hAnsi="標楷體" w:hint="eastAsia"/>
          <w:sz w:val="28"/>
          <w:szCs w:val="28"/>
        </w:rPr>
        <w:t>第七條</w:t>
      </w:r>
      <w:r w:rsidRPr="00AA6920">
        <w:rPr>
          <w:rFonts w:ascii="標楷體" w:eastAsia="標楷體" w:hAnsi="標楷體"/>
          <w:sz w:val="28"/>
          <w:szCs w:val="28"/>
        </w:rPr>
        <w:t xml:space="preserve">    </w:t>
      </w:r>
      <w:r w:rsidRPr="00AA6920">
        <w:rPr>
          <w:rFonts w:ascii="標楷體" w:eastAsia="標楷體" w:hAnsi="標楷體" w:hint="eastAsia"/>
          <w:sz w:val="28"/>
          <w:szCs w:val="28"/>
        </w:rPr>
        <w:t>技術型及單科型學校有特殊招生需要者，其免試入學得依下列規定辦理，不受該區免試入學作業要點規定之限制。但其比序，應符合前條第三款規定：</w:t>
      </w:r>
    </w:p>
    <w:p w:rsidR="005862D4" w:rsidRPr="00AA6920" w:rsidRDefault="005862D4" w:rsidP="001B2AC5">
      <w:pPr>
        <w:tabs>
          <w:tab w:val="left" w:pos="2030"/>
        </w:tabs>
        <w:snapToGrid w:val="0"/>
        <w:spacing w:line="240" w:lineRule="atLeast"/>
        <w:ind w:leftChars="601" w:left="31680" w:hangingChars="190" w:firstLine="31680"/>
        <w:jc w:val="both"/>
        <w:rPr>
          <w:rFonts w:ascii="標楷體" w:eastAsia="標楷體" w:hAnsi="標楷體"/>
          <w:sz w:val="28"/>
          <w:szCs w:val="28"/>
          <w:u w:val="single"/>
        </w:rPr>
      </w:pPr>
      <w:r w:rsidRPr="00AA6920">
        <w:rPr>
          <w:rFonts w:ascii="標楷體" w:eastAsia="標楷體" w:hAnsi="標楷體" w:hint="eastAsia"/>
          <w:sz w:val="28"/>
          <w:szCs w:val="28"/>
        </w:rPr>
        <w:t>一、學校</w:t>
      </w:r>
      <w:r w:rsidRPr="00AA6920">
        <w:rPr>
          <w:rFonts w:ascii="標楷體" w:eastAsia="標楷體" w:hAnsi="標楷體" w:hint="eastAsia"/>
          <w:bCs/>
          <w:sz w:val="28"/>
          <w:szCs w:val="28"/>
        </w:rPr>
        <w:t>以群、</w:t>
      </w:r>
      <w:r w:rsidRPr="00AA6920">
        <w:rPr>
          <w:rFonts w:ascii="標楷體" w:eastAsia="標楷體" w:hAnsi="標楷體" w:hint="eastAsia"/>
          <w:sz w:val="28"/>
          <w:szCs w:val="28"/>
        </w:rPr>
        <w:t>科</w:t>
      </w:r>
      <w:r w:rsidRPr="00AA6920">
        <w:rPr>
          <w:rFonts w:ascii="標楷體" w:eastAsia="標楷體" w:hAnsi="標楷體" w:hint="eastAsia"/>
          <w:bCs/>
          <w:sz w:val="28"/>
          <w:szCs w:val="28"/>
        </w:rPr>
        <w:t>或校為規劃單位，</w:t>
      </w:r>
      <w:r w:rsidRPr="00AA6920">
        <w:rPr>
          <w:rFonts w:ascii="標楷體" w:eastAsia="標楷體" w:hAnsi="標楷體" w:hint="eastAsia"/>
          <w:sz w:val="28"/>
          <w:szCs w:val="28"/>
        </w:rPr>
        <w:t>擬具課程計畫、申請單獨招生之特色需求、理由及超額比序項目與方式，送該區免試入學委員會審查，並報各該主管機關核定後，單獨辦理免試招生。</w:t>
      </w:r>
    </w:p>
    <w:p w:rsidR="005862D4" w:rsidRPr="00AA6920" w:rsidRDefault="005862D4" w:rsidP="001B2AC5">
      <w:pPr>
        <w:tabs>
          <w:tab w:val="left" w:pos="2030"/>
        </w:tabs>
        <w:snapToGrid w:val="0"/>
        <w:spacing w:line="240" w:lineRule="atLeast"/>
        <w:ind w:leftChars="601" w:left="31680" w:hangingChars="190" w:firstLine="31680"/>
        <w:jc w:val="both"/>
        <w:rPr>
          <w:rFonts w:ascii="標楷體" w:eastAsia="標楷體" w:hAnsi="標楷體"/>
          <w:sz w:val="28"/>
          <w:szCs w:val="28"/>
        </w:rPr>
      </w:pPr>
      <w:r w:rsidRPr="00AA6920">
        <w:rPr>
          <w:rFonts w:ascii="標楷體" w:eastAsia="標楷體" w:hAnsi="標楷體" w:hint="eastAsia"/>
          <w:sz w:val="28"/>
          <w:szCs w:val="28"/>
        </w:rPr>
        <w:t>二、學生得向前款各單獨招生學校報名，不受就學區限制，並以選擇一學校報到為限。</w:t>
      </w:r>
    </w:p>
    <w:p w:rsidR="005862D4" w:rsidRPr="00AA6920" w:rsidRDefault="005862D4" w:rsidP="001B2AC5">
      <w:pPr>
        <w:tabs>
          <w:tab w:val="left" w:pos="2030"/>
        </w:tabs>
        <w:snapToGrid w:val="0"/>
        <w:spacing w:line="240" w:lineRule="atLeast"/>
        <w:ind w:leftChars="601" w:left="31680" w:hangingChars="190" w:firstLine="31680"/>
        <w:jc w:val="both"/>
        <w:rPr>
          <w:rFonts w:ascii="標楷體" w:eastAsia="標楷體" w:hAnsi="標楷體"/>
          <w:sz w:val="28"/>
          <w:szCs w:val="28"/>
        </w:rPr>
      </w:pPr>
      <w:r w:rsidRPr="00AA6920">
        <w:rPr>
          <w:rFonts w:ascii="標楷體" w:eastAsia="標楷體" w:hAnsi="標楷體" w:hint="eastAsia"/>
          <w:sz w:val="28"/>
          <w:szCs w:val="28"/>
        </w:rPr>
        <w:t>三、單獨招生學校之報到日期，應與就學區第一次免試入學報到日同一日；其未招滿之名額，得移列至該區第二次免試入學名額內辦理續招，其續招方式，應依各區免試入學方式辦理。</w:t>
      </w:r>
    </w:p>
    <w:p w:rsidR="005862D4" w:rsidRPr="00AA6920" w:rsidRDefault="005862D4" w:rsidP="001B2AC5">
      <w:pPr>
        <w:tabs>
          <w:tab w:val="left" w:pos="1260"/>
          <w:tab w:val="left" w:pos="2030"/>
        </w:tabs>
        <w:snapToGrid w:val="0"/>
        <w:spacing w:line="240" w:lineRule="atLeast"/>
        <w:ind w:leftChars="601" w:left="31680" w:hangingChars="190" w:firstLine="31680"/>
        <w:jc w:val="both"/>
        <w:rPr>
          <w:rFonts w:ascii="標楷體" w:eastAsia="標楷體" w:hAnsi="標楷體"/>
          <w:sz w:val="28"/>
          <w:szCs w:val="28"/>
        </w:rPr>
      </w:pPr>
      <w:r w:rsidRPr="00AA6920">
        <w:rPr>
          <w:rFonts w:ascii="標楷體" w:eastAsia="標楷體" w:hAnsi="標楷體" w:hint="eastAsia"/>
          <w:sz w:val="28"/>
          <w:szCs w:val="28"/>
        </w:rPr>
        <w:t>四、經錄取之學生向單獨招生學校報到後，應於簡章規定期限內經書面聲明放棄，始得參與特色招生或第二次免試入學。</w:t>
      </w:r>
    </w:p>
    <w:p w:rsidR="005862D4" w:rsidRPr="00AA6920" w:rsidRDefault="005862D4" w:rsidP="001B2AC5">
      <w:pPr>
        <w:snapToGrid w:val="0"/>
        <w:spacing w:line="240" w:lineRule="atLeast"/>
        <w:ind w:left="31680" w:hangingChars="515" w:firstLine="31680"/>
        <w:jc w:val="both"/>
        <w:rPr>
          <w:rFonts w:ascii="標楷體" w:eastAsia="標楷體" w:hAnsi="標楷體"/>
          <w:sz w:val="28"/>
          <w:szCs w:val="28"/>
        </w:rPr>
      </w:pPr>
      <w:r w:rsidRPr="00AA6920">
        <w:rPr>
          <w:rFonts w:ascii="標楷體" w:eastAsia="標楷體" w:hAnsi="標楷體" w:hint="eastAsia"/>
          <w:sz w:val="28"/>
          <w:szCs w:val="28"/>
        </w:rPr>
        <w:t>第八條</w:t>
      </w:r>
      <w:r w:rsidRPr="00AA6920">
        <w:rPr>
          <w:rFonts w:ascii="標楷體" w:eastAsia="標楷體" w:hAnsi="標楷體"/>
          <w:sz w:val="28"/>
          <w:szCs w:val="28"/>
        </w:rPr>
        <w:t xml:space="preserve">    </w:t>
      </w:r>
      <w:r w:rsidRPr="00AA6920">
        <w:rPr>
          <w:rFonts w:ascii="標楷體" w:eastAsia="標楷體" w:hAnsi="標楷體" w:hint="eastAsia"/>
          <w:sz w:val="28"/>
          <w:szCs w:val="28"/>
        </w:rPr>
        <w:t>國中學生參加免試入學之範圍及學校分配共同就學區免試入學招生名額之方式如下：</w:t>
      </w:r>
    </w:p>
    <w:p w:rsidR="005862D4" w:rsidRPr="00AA6920" w:rsidRDefault="005862D4" w:rsidP="001B2AC5">
      <w:pPr>
        <w:snapToGrid w:val="0"/>
        <w:spacing w:line="240" w:lineRule="atLeast"/>
        <w:ind w:leftChars="590" w:left="31680" w:hangingChars="185" w:firstLine="31680"/>
        <w:jc w:val="both"/>
        <w:rPr>
          <w:rFonts w:ascii="標楷體" w:eastAsia="標楷體" w:hAnsi="標楷體"/>
          <w:sz w:val="28"/>
          <w:szCs w:val="28"/>
        </w:rPr>
      </w:pPr>
      <w:r w:rsidRPr="00AA6920">
        <w:rPr>
          <w:rFonts w:ascii="標楷體" w:eastAsia="標楷體" w:hAnsi="標楷體" w:hint="eastAsia"/>
          <w:sz w:val="28"/>
          <w:szCs w:val="28"/>
        </w:rPr>
        <w:t>一、</w:t>
      </w:r>
      <w:r w:rsidRPr="00AA6920">
        <w:rPr>
          <w:rFonts w:ascii="標楷體" w:eastAsia="標楷體" w:hAnsi="標楷體" w:cs="新細明體" w:hint="eastAsia"/>
          <w:kern w:val="0"/>
          <w:sz w:val="28"/>
          <w:szCs w:val="28"/>
        </w:rPr>
        <w:t>依第四條第二項劃定</w:t>
      </w:r>
      <w:r w:rsidRPr="00AA6920">
        <w:rPr>
          <w:rFonts w:ascii="標楷體" w:eastAsia="標楷體" w:hAnsi="標楷體" w:hint="eastAsia"/>
          <w:sz w:val="28"/>
          <w:szCs w:val="28"/>
        </w:rPr>
        <w:t>緊鄰就學區之鄉</w:t>
      </w:r>
      <w:r w:rsidRPr="00AA6920">
        <w:rPr>
          <w:rFonts w:ascii="標楷體" w:eastAsia="標楷體" w:hAnsi="標楷體"/>
          <w:sz w:val="28"/>
          <w:szCs w:val="28"/>
        </w:rPr>
        <w:t>(</w:t>
      </w:r>
      <w:r w:rsidRPr="00AA6920">
        <w:rPr>
          <w:rFonts w:ascii="標楷體" w:eastAsia="標楷體" w:hAnsi="標楷體" w:hint="eastAsia"/>
          <w:sz w:val="28"/>
          <w:szCs w:val="28"/>
        </w:rPr>
        <w:t>鎮、市、區</w:t>
      </w:r>
      <w:r w:rsidRPr="00AA6920">
        <w:rPr>
          <w:rFonts w:ascii="標楷體" w:eastAsia="標楷體" w:hAnsi="標楷體"/>
          <w:sz w:val="28"/>
          <w:szCs w:val="28"/>
        </w:rPr>
        <w:t>)</w:t>
      </w:r>
      <w:r w:rsidRPr="00AA6920">
        <w:rPr>
          <w:rFonts w:ascii="標楷體" w:eastAsia="標楷體" w:hAnsi="標楷體" w:hint="eastAsia"/>
          <w:sz w:val="28"/>
          <w:szCs w:val="28"/>
        </w:rPr>
        <w:t>為共同就學區者：</w:t>
      </w:r>
    </w:p>
    <w:p w:rsidR="005862D4" w:rsidRPr="00AA6920" w:rsidRDefault="005862D4" w:rsidP="001B2AC5">
      <w:pPr>
        <w:snapToGrid w:val="0"/>
        <w:spacing w:line="240" w:lineRule="atLeast"/>
        <w:ind w:leftChars="805" w:left="31680" w:hangingChars="305" w:firstLine="31680"/>
        <w:jc w:val="both"/>
        <w:rPr>
          <w:rFonts w:ascii="標楷體" w:eastAsia="標楷體" w:hAnsi="標楷體" w:cs="細明體"/>
          <w:kern w:val="0"/>
          <w:sz w:val="28"/>
          <w:szCs w:val="28"/>
        </w:rPr>
      </w:pPr>
      <w:r w:rsidRPr="00AA6920">
        <w:rPr>
          <w:rFonts w:ascii="標楷體" w:eastAsia="標楷體" w:hAnsi="標楷體" w:cs="細明體" w:hint="eastAsia"/>
          <w:kern w:val="0"/>
          <w:sz w:val="28"/>
          <w:szCs w:val="28"/>
        </w:rPr>
        <w:t>（一）國中學生應以其具畢業或同等學力資格之國民中學學籍所在之就學區（以下簡稱原就學區）及共同就學區，參加免試入學，並依原就學區之免試入學作業要點規定辦理。</w:t>
      </w:r>
      <w:r w:rsidRPr="00AA6920">
        <w:rPr>
          <w:rFonts w:ascii="標楷體" w:eastAsia="標楷體" w:hAnsi="標楷體" w:cs="細明體"/>
          <w:kern w:val="0"/>
          <w:sz w:val="28"/>
          <w:szCs w:val="28"/>
        </w:rPr>
        <w:t xml:space="preserve"> </w:t>
      </w:r>
    </w:p>
    <w:p w:rsidR="005862D4" w:rsidRPr="00AA6920" w:rsidRDefault="005862D4" w:rsidP="001B2AC5">
      <w:pPr>
        <w:snapToGrid w:val="0"/>
        <w:spacing w:line="240" w:lineRule="atLeast"/>
        <w:ind w:leftChars="834" w:left="31680" w:hangingChars="295" w:firstLine="31680"/>
        <w:jc w:val="both"/>
        <w:rPr>
          <w:rFonts w:ascii="標楷體" w:eastAsia="標楷體" w:hAnsi="標楷體"/>
          <w:sz w:val="28"/>
          <w:szCs w:val="28"/>
        </w:rPr>
      </w:pPr>
      <w:r w:rsidRPr="00AA6920">
        <w:rPr>
          <w:rFonts w:ascii="標楷體" w:eastAsia="標楷體" w:hAnsi="標楷體" w:hint="eastAsia"/>
          <w:sz w:val="28"/>
          <w:szCs w:val="28"/>
        </w:rPr>
        <w:t>（二）</w:t>
      </w:r>
      <w:r w:rsidRPr="00AA6920">
        <w:rPr>
          <w:rFonts w:ascii="標楷體" w:eastAsia="標楷體" w:hAnsi="標楷體" w:cs="細明體" w:hint="eastAsia"/>
          <w:kern w:val="0"/>
          <w:sz w:val="28"/>
          <w:szCs w:val="28"/>
        </w:rPr>
        <w:t>位於共同就學區之學校得分配其招生名額，供原就學區國中學生參加免試入學。</w:t>
      </w:r>
    </w:p>
    <w:p w:rsidR="005862D4" w:rsidRPr="00AA6920" w:rsidRDefault="005862D4" w:rsidP="001B2AC5">
      <w:pPr>
        <w:snapToGrid w:val="0"/>
        <w:spacing w:line="240" w:lineRule="atLeast"/>
        <w:ind w:leftChars="590" w:left="31680" w:hangingChars="185" w:firstLine="31680"/>
        <w:jc w:val="both"/>
        <w:rPr>
          <w:rFonts w:ascii="標楷體" w:eastAsia="標楷體" w:hAnsi="標楷體"/>
          <w:sz w:val="28"/>
          <w:szCs w:val="28"/>
        </w:rPr>
      </w:pPr>
      <w:r w:rsidRPr="00AA6920">
        <w:rPr>
          <w:rFonts w:ascii="標楷體" w:eastAsia="標楷體" w:hAnsi="標楷體" w:hint="eastAsia"/>
          <w:sz w:val="28"/>
          <w:szCs w:val="28"/>
        </w:rPr>
        <w:t>二、</w:t>
      </w:r>
      <w:r w:rsidRPr="00AA6920">
        <w:rPr>
          <w:rFonts w:ascii="標楷體" w:eastAsia="標楷體" w:hAnsi="標楷體" w:cs="新細明體" w:hint="eastAsia"/>
          <w:kern w:val="0"/>
          <w:sz w:val="28"/>
          <w:szCs w:val="28"/>
        </w:rPr>
        <w:t>依第四條第二項劃定</w:t>
      </w:r>
      <w:r w:rsidRPr="00AA6920">
        <w:rPr>
          <w:rFonts w:ascii="標楷體" w:eastAsia="標楷體" w:hAnsi="標楷體" w:hint="eastAsia"/>
          <w:sz w:val="28"/>
          <w:szCs w:val="28"/>
        </w:rPr>
        <w:t>緊鄰就學區全區為共同就學區者：</w:t>
      </w:r>
    </w:p>
    <w:p w:rsidR="005862D4" w:rsidRPr="00AA6920" w:rsidRDefault="005862D4" w:rsidP="001B2AC5">
      <w:pPr>
        <w:snapToGrid w:val="0"/>
        <w:spacing w:line="240" w:lineRule="atLeast"/>
        <w:ind w:leftChars="869" w:left="31680" w:hangingChars="250" w:firstLine="31680"/>
        <w:jc w:val="both"/>
        <w:rPr>
          <w:rFonts w:ascii="標楷體" w:eastAsia="標楷體" w:hAnsi="標楷體" w:cs="新細明體"/>
          <w:kern w:val="0"/>
          <w:sz w:val="28"/>
          <w:szCs w:val="28"/>
        </w:rPr>
      </w:pPr>
      <w:r w:rsidRPr="00AA6920">
        <w:rPr>
          <w:rFonts w:ascii="標楷體" w:eastAsia="標楷體" w:hAnsi="標楷體" w:hint="eastAsia"/>
          <w:sz w:val="28"/>
          <w:szCs w:val="28"/>
        </w:rPr>
        <w:t>（一）國中學生應以原就學區或</w:t>
      </w:r>
      <w:r w:rsidRPr="00AA6920">
        <w:rPr>
          <w:rFonts w:ascii="標楷體" w:eastAsia="標楷體" w:hAnsi="標楷體" w:cs="細明體" w:hint="eastAsia"/>
          <w:kern w:val="0"/>
          <w:sz w:val="28"/>
          <w:szCs w:val="28"/>
        </w:rPr>
        <w:t>共同就學區擇一區</w:t>
      </w:r>
      <w:r w:rsidRPr="00AA6920">
        <w:rPr>
          <w:rFonts w:ascii="標楷體" w:eastAsia="標楷體" w:hAnsi="標楷體" w:hint="eastAsia"/>
          <w:sz w:val="28"/>
          <w:szCs w:val="28"/>
        </w:rPr>
        <w:t>參加免試入學</w:t>
      </w:r>
      <w:r w:rsidRPr="00AA6920">
        <w:rPr>
          <w:rFonts w:ascii="標楷體" w:eastAsia="標楷體" w:hAnsi="標楷體" w:cs="新細明體" w:hint="eastAsia"/>
          <w:kern w:val="0"/>
          <w:sz w:val="28"/>
          <w:szCs w:val="28"/>
        </w:rPr>
        <w:t>，並依各該就學區之免試入學作業要點規定辦理。</w:t>
      </w:r>
    </w:p>
    <w:p w:rsidR="005862D4" w:rsidRPr="00AA6920" w:rsidRDefault="005862D4" w:rsidP="001B2AC5">
      <w:pPr>
        <w:snapToGrid w:val="0"/>
        <w:spacing w:line="240" w:lineRule="atLeast"/>
        <w:ind w:leftChars="869" w:left="31680" w:hangingChars="250" w:firstLine="31680"/>
        <w:jc w:val="both"/>
        <w:rPr>
          <w:rFonts w:ascii="標楷體" w:eastAsia="標楷體" w:hAnsi="標楷體" w:cs="細明體"/>
          <w:kern w:val="0"/>
          <w:sz w:val="28"/>
          <w:szCs w:val="28"/>
          <w:u w:val="single"/>
        </w:rPr>
      </w:pPr>
      <w:r w:rsidRPr="00AA6920">
        <w:rPr>
          <w:rFonts w:ascii="標楷體" w:eastAsia="標楷體" w:hAnsi="標楷體" w:hint="eastAsia"/>
          <w:sz w:val="28"/>
          <w:szCs w:val="28"/>
        </w:rPr>
        <w:t>（二）位於前目國民中學所在鄉</w:t>
      </w:r>
      <w:r w:rsidRPr="00AA6920">
        <w:rPr>
          <w:rFonts w:ascii="標楷體" w:eastAsia="標楷體" w:hAnsi="標楷體"/>
          <w:sz w:val="28"/>
          <w:szCs w:val="28"/>
        </w:rPr>
        <w:t>(</w:t>
      </w:r>
      <w:r w:rsidRPr="00AA6920">
        <w:rPr>
          <w:rFonts w:ascii="標楷體" w:eastAsia="標楷體" w:hAnsi="標楷體" w:hint="eastAsia"/>
          <w:sz w:val="28"/>
          <w:szCs w:val="28"/>
        </w:rPr>
        <w:t>鎮、市、區</w:t>
      </w:r>
      <w:r w:rsidRPr="00AA6920">
        <w:rPr>
          <w:rFonts w:ascii="標楷體" w:eastAsia="標楷體" w:hAnsi="標楷體"/>
          <w:sz w:val="28"/>
          <w:szCs w:val="28"/>
        </w:rPr>
        <w:t>)</w:t>
      </w:r>
      <w:r w:rsidRPr="00AA6920">
        <w:rPr>
          <w:rFonts w:ascii="標楷體" w:eastAsia="標楷體" w:hAnsi="標楷體" w:hint="eastAsia"/>
          <w:sz w:val="28"/>
          <w:szCs w:val="28"/>
        </w:rPr>
        <w:t>之學校得分</w:t>
      </w:r>
      <w:r w:rsidRPr="00AA6920">
        <w:rPr>
          <w:rFonts w:ascii="標楷體" w:eastAsia="標楷體" w:hAnsi="標楷體" w:cs="細明體" w:hint="eastAsia"/>
          <w:kern w:val="0"/>
          <w:sz w:val="28"/>
          <w:szCs w:val="28"/>
        </w:rPr>
        <w:t>配其招生名額，供原就學區及共同就學區內國中學生參加免試入學。</w:t>
      </w:r>
    </w:p>
    <w:p w:rsidR="005862D4" w:rsidRPr="001B2AC5" w:rsidRDefault="005862D4" w:rsidP="001B2AC5">
      <w:pPr>
        <w:tabs>
          <w:tab w:val="left" w:pos="1260"/>
        </w:tabs>
        <w:snapToGrid w:val="0"/>
        <w:spacing w:line="240" w:lineRule="atLeast"/>
        <w:ind w:leftChars="280" w:left="31680" w:hangingChars="300" w:firstLine="31680"/>
        <w:jc w:val="both"/>
        <w:rPr>
          <w:rFonts w:ascii="標楷體" w:eastAsia="標楷體" w:hAnsi="標楷體"/>
          <w:color w:val="FF0000"/>
          <w:sz w:val="28"/>
          <w:szCs w:val="28"/>
        </w:rPr>
      </w:pPr>
      <w:r w:rsidRPr="00AA6920">
        <w:rPr>
          <w:rFonts w:ascii="標楷體" w:eastAsia="標楷體" w:hAnsi="標楷體"/>
          <w:sz w:val="28"/>
          <w:szCs w:val="28"/>
        </w:rPr>
        <w:t xml:space="preserve">      </w:t>
      </w:r>
      <w:r w:rsidRPr="001B2AC5">
        <w:rPr>
          <w:rFonts w:ascii="標楷體" w:eastAsia="標楷體" w:hAnsi="標楷體" w:hint="eastAsia"/>
          <w:color w:val="FF0000"/>
          <w:sz w:val="28"/>
          <w:szCs w:val="28"/>
        </w:rPr>
        <w:t>因</w:t>
      </w:r>
      <w:r w:rsidRPr="001B2AC5">
        <w:rPr>
          <w:rFonts w:ascii="標楷體" w:eastAsia="標楷體" w:hAnsi="標楷體" w:cs="標楷體" w:hint="eastAsia"/>
          <w:color w:val="FF0000"/>
          <w:sz w:val="28"/>
          <w:szCs w:val="28"/>
        </w:rPr>
        <w:t>戶籍遷徙或其他</w:t>
      </w:r>
      <w:r w:rsidRPr="001B2AC5">
        <w:rPr>
          <w:rFonts w:ascii="標楷體" w:eastAsia="標楷體" w:hAnsi="標楷體" w:hint="eastAsia"/>
          <w:color w:val="FF0000"/>
          <w:sz w:val="28"/>
          <w:szCs w:val="28"/>
        </w:rPr>
        <w:t>特殊</w:t>
      </w:r>
      <w:r w:rsidRPr="001B2AC5">
        <w:rPr>
          <w:rFonts w:ascii="標楷體" w:eastAsia="標楷體" w:hAnsi="標楷體" w:cs="標楷體" w:hint="eastAsia"/>
          <w:color w:val="FF0000"/>
          <w:sz w:val="28"/>
          <w:szCs w:val="28"/>
        </w:rPr>
        <w:t>理由，須變更就學區者，應於免試入學招生簡章規定期限內，向擬參加免試入學之就學區免試入學委員會提出申請，</w:t>
      </w:r>
      <w:r w:rsidRPr="001B2AC5">
        <w:rPr>
          <w:rFonts w:ascii="標楷體" w:eastAsia="標楷體" w:hAnsi="標楷體" w:hint="eastAsia"/>
          <w:color w:val="FF0000"/>
          <w:sz w:val="28"/>
          <w:szCs w:val="28"/>
        </w:rPr>
        <w:t>經審查通過者，始得於變更後之就學區參加免試入學。</w:t>
      </w:r>
    </w:p>
    <w:p w:rsidR="005862D4" w:rsidRPr="00AA6920" w:rsidRDefault="005862D4" w:rsidP="005A5516">
      <w:pPr>
        <w:numPr>
          <w:ilvl w:val="0"/>
          <w:numId w:val="19"/>
        </w:numPr>
        <w:tabs>
          <w:tab w:val="clear" w:pos="960"/>
          <w:tab w:val="left" w:pos="1260"/>
        </w:tabs>
        <w:snapToGrid w:val="0"/>
        <w:spacing w:line="240" w:lineRule="atLeast"/>
        <w:ind w:left="1540" w:hanging="1568"/>
        <w:jc w:val="both"/>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原住民重點學校或技術型學校產業特殊需求類科，得跨就學區，獨立或聯合辦理免試入學。</w:t>
      </w:r>
    </w:p>
    <w:p w:rsidR="005862D4" w:rsidRPr="00AA6920" w:rsidRDefault="005862D4" w:rsidP="005A5516">
      <w:pPr>
        <w:numPr>
          <w:ilvl w:val="0"/>
          <w:numId w:val="19"/>
        </w:numPr>
        <w:tabs>
          <w:tab w:val="clear" w:pos="960"/>
          <w:tab w:val="num" w:pos="1456"/>
          <w:tab w:val="left" w:pos="1596"/>
        </w:tabs>
        <w:snapToGrid w:val="0"/>
        <w:spacing w:line="240" w:lineRule="atLeast"/>
        <w:ind w:left="1582" w:hanging="1610"/>
        <w:jc w:val="both"/>
        <w:rPr>
          <w:rFonts w:ascii="標楷體" w:eastAsia="標楷體" w:hAnsi="標楷體" w:cs="細明體"/>
          <w:kern w:val="0"/>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學校經第一次免試及第二次免試入學，仍未招滿，得報經主管機關核准，辦理免試續招，續招得不受就學區限制跨區辦理。但辦理方式仍應依第六條第二款至第四款規定辦理。</w:t>
      </w:r>
      <w:r w:rsidRPr="00AA6920">
        <w:rPr>
          <w:rFonts w:ascii="標楷體" w:eastAsia="標楷體" w:hAnsi="標楷體" w:cs="細明體"/>
          <w:kern w:val="0"/>
          <w:sz w:val="28"/>
          <w:szCs w:val="28"/>
        </w:rPr>
        <w:t xml:space="preserve">  </w:t>
      </w:r>
    </w:p>
    <w:p w:rsidR="005862D4" w:rsidRPr="00AA6920" w:rsidRDefault="005862D4" w:rsidP="001B2AC5">
      <w:pPr>
        <w:snapToGrid w:val="0"/>
        <w:spacing w:line="240" w:lineRule="atLeast"/>
        <w:ind w:leftChars="-10" w:left="31680" w:hangingChars="615" w:firstLine="31680"/>
        <w:jc w:val="both"/>
        <w:rPr>
          <w:rFonts w:ascii="標楷體" w:eastAsia="標楷體" w:hAnsi="標楷體"/>
          <w:sz w:val="28"/>
          <w:szCs w:val="28"/>
        </w:rPr>
      </w:pPr>
      <w:r w:rsidRPr="00AA6920">
        <w:rPr>
          <w:rFonts w:ascii="標楷體" w:eastAsia="標楷體" w:hAnsi="標楷體" w:cs="Arial" w:hint="eastAsia"/>
          <w:sz w:val="28"/>
          <w:szCs w:val="28"/>
        </w:rPr>
        <w:t>第十一條</w:t>
      </w:r>
      <w:r w:rsidRPr="00AA6920">
        <w:rPr>
          <w:rFonts w:ascii="標楷體" w:eastAsia="標楷體" w:hAnsi="標楷體" w:cs="Arial"/>
          <w:sz w:val="28"/>
          <w:szCs w:val="28"/>
        </w:rPr>
        <w:t xml:space="preserve">    </w:t>
      </w:r>
      <w:r w:rsidRPr="00AA6920">
        <w:rPr>
          <w:rFonts w:ascii="標楷體" w:eastAsia="標楷體" w:hAnsi="標楷體" w:hint="eastAsia"/>
          <w:sz w:val="28"/>
          <w:szCs w:val="28"/>
        </w:rPr>
        <w:t>特色招生辦理方式如下：</w:t>
      </w:r>
    </w:p>
    <w:p w:rsidR="005862D4" w:rsidRPr="001B2AC5" w:rsidRDefault="005862D4" w:rsidP="001B2AC5">
      <w:pPr>
        <w:snapToGrid w:val="0"/>
        <w:spacing w:line="240" w:lineRule="atLeast"/>
        <w:ind w:leftChars="670" w:left="31680" w:hangingChars="200" w:firstLine="31680"/>
        <w:jc w:val="both"/>
        <w:rPr>
          <w:rFonts w:ascii="標楷體" w:eastAsia="標楷體" w:hAnsi="標楷體"/>
          <w:color w:val="FF0000"/>
          <w:sz w:val="28"/>
          <w:szCs w:val="28"/>
        </w:rPr>
      </w:pPr>
      <w:r w:rsidRPr="00AA6920">
        <w:rPr>
          <w:rFonts w:ascii="標楷體" w:eastAsia="標楷體" w:hAnsi="標楷體" w:hint="eastAsia"/>
          <w:sz w:val="28"/>
          <w:szCs w:val="28"/>
        </w:rPr>
        <w:t>一、</w:t>
      </w:r>
      <w:r w:rsidRPr="001B2AC5">
        <w:rPr>
          <w:rFonts w:ascii="標楷體" w:eastAsia="標楷體" w:hAnsi="標楷體" w:hint="eastAsia"/>
          <w:color w:val="FF0000"/>
          <w:sz w:val="28"/>
          <w:szCs w:val="28"/>
        </w:rPr>
        <w:t>甄選入學：學校之音樂、美術、舞蹈、戲劇、科學、體育及高級中等學校專業群、科之特殊班、科、組、群，得參採國中教育會考成績作為錄取門檻，辦理單獨或聯合招生，並應依術科測驗分數及學生志願，作為錄取依據。</w:t>
      </w:r>
    </w:p>
    <w:p w:rsidR="005862D4" w:rsidRPr="001B2AC5" w:rsidRDefault="005862D4" w:rsidP="001B2AC5">
      <w:pPr>
        <w:snapToGrid w:val="0"/>
        <w:spacing w:line="240" w:lineRule="atLeast"/>
        <w:ind w:leftChars="670" w:left="31680" w:hangingChars="104" w:firstLine="31680"/>
        <w:rPr>
          <w:rFonts w:ascii="標楷體" w:eastAsia="標楷體" w:hAnsi="標楷體"/>
          <w:color w:val="FF0000"/>
          <w:sz w:val="28"/>
          <w:szCs w:val="28"/>
        </w:rPr>
      </w:pPr>
      <w:r w:rsidRPr="00AA6920">
        <w:rPr>
          <w:rFonts w:ascii="標楷體" w:eastAsia="標楷體" w:hAnsi="標楷體" w:hint="eastAsia"/>
          <w:sz w:val="28"/>
          <w:szCs w:val="28"/>
        </w:rPr>
        <w:t>二、</w:t>
      </w:r>
      <w:r w:rsidRPr="001B2AC5">
        <w:rPr>
          <w:rFonts w:ascii="標楷體" w:eastAsia="標楷體" w:hAnsi="標楷體" w:hint="eastAsia"/>
          <w:color w:val="FF0000"/>
          <w:sz w:val="28"/>
          <w:szCs w:val="28"/>
        </w:rPr>
        <w:t>考試分發入學：</w:t>
      </w:r>
    </w:p>
    <w:p w:rsidR="005862D4" w:rsidRPr="001B2AC5" w:rsidRDefault="005862D4" w:rsidP="001B2AC5">
      <w:pPr>
        <w:snapToGrid w:val="0"/>
        <w:spacing w:line="240" w:lineRule="atLeast"/>
        <w:ind w:leftChars="904" w:left="31680" w:hanging="784"/>
        <w:rPr>
          <w:rFonts w:ascii="標楷體" w:eastAsia="標楷體" w:hAnsi="標楷體"/>
          <w:color w:val="FF0000"/>
          <w:sz w:val="28"/>
          <w:szCs w:val="28"/>
        </w:rPr>
      </w:pPr>
      <w:r w:rsidRPr="001B2AC5">
        <w:rPr>
          <w:rFonts w:ascii="標楷體" w:eastAsia="標楷體" w:hAnsi="標楷體" w:hint="eastAsia"/>
          <w:color w:val="FF0000"/>
          <w:sz w:val="28"/>
          <w:szCs w:val="28"/>
        </w:rPr>
        <w:t>（一）學校以學科測驗成績及學生志願，作為分發入學之依據，辦理單獨或聯合招生。</w:t>
      </w:r>
    </w:p>
    <w:p w:rsidR="005862D4" w:rsidRPr="001B2AC5" w:rsidRDefault="005862D4" w:rsidP="001B2AC5">
      <w:pPr>
        <w:snapToGrid w:val="0"/>
        <w:spacing w:line="240" w:lineRule="atLeast"/>
        <w:ind w:leftChars="898" w:left="31680" w:hanging="784"/>
        <w:rPr>
          <w:rFonts w:ascii="標楷體" w:eastAsia="標楷體" w:hAnsi="標楷體"/>
          <w:color w:val="FF0000"/>
          <w:sz w:val="28"/>
          <w:szCs w:val="28"/>
        </w:rPr>
      </w:pPr>
      <w:r w:rsidRPr="001B2AC5">
        <w:rPr>
          <w:rFonts w:ascii="標楷體" w:eastAsia="標楷體" w:hAnsi="標楷體" w:hint="eastAsia"/>
          <w:color w:val="FF0000"/>
          <w:sz w:val="28"/>
          <w:szCs w:val="28"/>
        </w:rPr>
        <w:t>（二）前目</w:t>
      </w:r>
      <w:r w:rsidRPr="001B2AC5">
        <w:rPr>
          <w:rFonts w:ascii="標楷體" w:eastAsia="標楷體" w:hAnsi="標楷體" w:cs="新細明體" w:hint="eastAsia"/>
          <w:color w:val="FF0000"/>
          <w:kern w:val="0"/>
          <w:sz w:val="28"/>
          <w:szCs w:val="28"/>
        </w:rPr>
        <w:t>學科測驗分為國文、英語、數學、社會及自然五科，並得擇科、併科測驗或加權計分。</w:t>
      </w:r>
    </w:p>
    <w:p w:rsidR="005862D4" w:rsidRPr="001B2AC5" w:rsidRDefault="005862D4" w:rsidP="001B2AC5">
      <w:pPr>
        <w:snapToGrid w:val="0"/>
        <w:spacing w:line="240" w:lineRule="atLeast"/>
        <w:ind w:leftChars="297" w:left="31680" w:hangingChars="310" w:firstLine="31680"/>
        <w:jc w:val="both"/>
        <w:rPr>
          <w:rFonts w:ascii="標楷體" w:eastAsia="標楷體" w:hAnsi="標楷體"/>
          <w:color w:val="FF0000"/>
          <w:sz w:val="28"/>
          <w:szCs w:val="28"/>
        </w:rPr>
      </w:pPr>
      <w:r w:rsidRPr="00AA6920">
        <w:rPr>
          <w:rFonts w:ascii="標楷體" w:eastAsia="標楷體" w:hAnsi="標楷體" w:cs="新細明體" w:hint="eastAsia"/>
          <w:kern w:val="0"/>
          <w:sz w:val="28"/>
          <w:szCs w:val="28"/>
        </w:rPr>
        <w:t xml:space="preserve">　</w:t>
      </w:r>
      <w:r w:rsidRPr="00AA6920">
        <w:rPr>
          <w:rFonts w:ascii="標楷體" w:eastAsia="標楷體" w:hAnsi="標楷體" w:cs="新細明體"/>
          <w:kern w:val="0"/>
          <w:sz w:val="28"/>
          <w:szCs w:val="28"/>
        </w:rPr>
        <w:t xml:space="preserve">   </w:t>
      </w:r>
      <w:r w:rsidRPr="001B2AC5">
        <w:rPr>
          <w:rFonts w:ascii="標楷體" w:eastAsia="標楷體" w:hAnsi="標楷體" w:cs="新細明體"/>
          <w:color w:val="FF0000"/>
          <w:kern w:val="0"/>
          <w:sz w:val="28"/>
          <w:szCs w:val="28"/>
        </w:rPr>
        <w:t xml:space="preserve"> </w:t>
      </w:r>
      <w:r w:rsidRPr="001B2AC5">
        <w:rPr>
          <w:rFonts w:ascii="標楷體" w:eastAsia="標楷體" w:hAnsi="標楷體" w:cs="新細明體" w:hint="eastAsia"/>
          <w:color w:val="FF0000"/>
          <w:kern w:val="0"/>
          <w:sz w:val="28"/>
          <w:szCs w:val="28"/>
        </w:rPr>
        <w:t>各就學區辦理特色招生之甄選入學，或考試分發入學，其同類型術科測驗或學科測驗，應以同日辦理為原則</w:t>
      </w:r>
      <w:r w:rsidRPr="001B2AC5">
        <w:rPr>
          <w:rFonts w:ascii="標楷體" w:eastAsia="標楷體" w:hAnsi="標楷體" w:hint="eastAsia"/>
          <w:color w:val="FF0000"/>
          <w:sz w:val="28"/>
          <w:szCs w:val="28"/>
        </w:rPr>
        <w:t>。</w:t>
      </w:r>
    </w:p>
    <w:p w:rsidR="005862D4" w:rsidRPr="00AA6920" w:rsidRDefault="005862D4" w:rsidP="001B2AC5">
      <w:pPr>
        <w:snapToGrid w:val="0"/>
        <w:spacing w:line="240" w:lineRule="atLeast"/>
        <w:ind w:leftChars="-17" w:left="31680" w:hangingChars="575" w:firstLine="31680"/>
        <w:jc w:val="both"/>
        <w:rPr>
          <w:rFonts w:ascii="標楷體" w:eastAsia="標楷體" w:hAnsi="標楷體" w:cs="細明體"/>
          <w:kern w:val="0"/>
          <w:sz w:val="28"/>
          <w:szCs w:val="28"/>
        </w:rPr>
      </w:pPr>
      <w:r w:rsidRPr="00AA6920">
        <w:rPr>
          <w:rFonts w:ascii="標楷體" w:eastAsia="標楷體" w:hAnsi="標楷體" w:cs="Arial" w:hint="eastAsia"/>
          <w:sz w:val="28"/>
          <w:szCs w:val="28"/>
        </w:rPr>
        <w:t>第十二條</w:t>
      </w:r>
      <w:r w:rsidRPr="00AA6920">
        <w:rPr>
          <w:rFonts w:ascii="標楷體" w:eastAsia="標楷體" w:hAnsi="標楷體" w:cs="Arial"/>
          <w:sz w:val="28"/>
          <w:szCs w:val="28"/>
        </w:rPr>
        <w:t xml:space="preserve">    </w:t>
      </w:r>
      <w:r w:rsidRPr="00AA6920">
        <w:rPr>
          <w:rFonts w:ascii="標楷體" w:eastAsia="標楷體" w:hAnsi="標楷體" w:cs="Arial" w:hint="eastAsia"/>
          <w:sz w:val="28"/>
          <w:szCs w:val="28"/>
        </w:rPr>
        <w:t>國民中學學生</w:t>
      </w:r>
      <w:r w:rsidRPr="00AA6920">
        <w:rPr>
          <w:rFonts w:ascii="標楷體" w:eastAsia="標楷體" w:hAnsi="標楷體" w:hint="eastAsia"/>
          <w:sz w:val="28"/>
          <w:szCs w:val="28"/>
        </w:rPr>
        <w:t>參加前條第一項第一款班、科、組、群之甄選入學者，其報名資格及審核程序，應依藝術教育法、特殊教育法、國民體育法、本法第十二條及其相關法規之規定辦理</w:t>
      </w:r>
      <w:r w:rsidRPr="00AA6920">
        <w:rPr>
          <w:rFonts w:ascii="標楷體" w:eastAsia="標楷體" w:hAnsi="標楷體" w:cs="細明體" w:hint="eastAsia"/>
          <w:kern w:val="0"/>
          <w:sz w:val="28"/>
          <w:szCs w:val="28"/>
        </w:rPr>
        <w:t>。</w:t>
      </w:r>
    </w:p>
    <w:p w:rsidR="005862D4" w:rsidRPr="00AA6920" w:rsidRDefault="005862D4" w:rsidP="001B2AC5">
      <w:pPr>
        <w:snapToGrid w:val="0"/>
        <w:spacing w:line="240" w:lineRule="atLeast"/>
        <w:ind w:leftChars="-16" w:left="31680" w:hangingChars="594" w:firstLine="31680"/>
        <w:jc w:val="both"/>
        <w:rPr>
          <w:rFonts w:ascii="標楷體" w:eastAsia="標楷體" w:hAnsi="標楷體"/>
          <w:sz w:val="28"/>
          <w:szCs w:val="28"/>
        </w:rPr>
      </w:pPr>
      <w:r w:rsidRPr="00AA6920">
        <w:rPr>
          <w:rFonts w:ascii="標楷體" w:eastAsia="標楷體" w:hAnsi="標楷體" w:cs="Arial" w:hint="eastAsia"/>
          <w:sz w:val="28"/>
          <w:szCs w:val="28"/>
        </w:rPr>
        <w:t>第十三條</w:t>
      </w:r>
      <w:r w:rsidRPr="00AA6920">
        <w:rPr>
          <w:rFonts w:ascii="標楷體" w:eastAsia="標楷體" w:hAnsi="標楷體"/>
          <w:sz w:val="28"/>
          <w:szCs w:val="28"/>
        </w:rPr>
        <w:t xml:space="preserve">    </w:t>
      </w:r>
      <w:r w:rsidRPr="00AA6920">
        <w:rPr>
          <w:rFonts w:ascii="標楷體" w:eastAsia="標楷體" w:hAnsi="標楷體" w:hint="eastAsia"/>
          <w:sz w:val="28"/>
          <w:szCs w:val="28"/>
        </w:rPr>
        <w:t>學校辦理特色招生考試分發、高級中等學校專業群、科辦理特色招生甄選入學之申請及審核程序如下：</w:t>
      </w:r>
    </w:p>
    <w:p w:rsidR="005862D4" w:rsidRPr="00AA6920" w:rsidRDefault="005862D4" w:rsidP="001B2AC5">
      <w:pPr>
        <w:snapToGrid w:val="0"/>
        <w:spacing w:line="240" w:lineRule="atLeast"/>
        <w:ind w:leftChars="675" w:left="31680" w:hangingChars="192" w:firstLine="31680"/>
        <w:jc w:val="both"/>
        <w:rPr>
          <w:rFonts w:ascii="標楷體" w:eastAsia="標楷體" w:hAnsi="標楷體"/>
          <w:sz w:val="28"/>
          <w:szCs w:val="28"/>
        </w:rPr>
      </w:pPr>
      <w:r w:rsidRPr="00AA6920">
        <w:rPr>
          <w:rFonts w:ascii="標楷體" w:eastAsia="標楷體" w:hAnsi="標楷體" w:hint="eastAsia"/>
          <w:sz w:val="28"/>
          <w:szCs w:val="28"/>
        </w:rPr>
        <w:t>一、</w:t>
      </w:r>
      <w:r w:rsidRPr="00AA6920">
        <w:rPr>
          <w:rFonts w:ascii="標楷體" w:eastAsia="標楷體" w:hint="eastAsia"/>
          <w:sz w:val="28"/>
          <w:szCs w:val="28"/>
        </w:rPr>
        <w:t>就學區之直轄市、縣（市）主管機關應會商區內學校各該主管機關，訂定該區特色招生核定作業要點，提直轄市、縣（市）教育審議委員會審議通過後實施，並報中央主管機關備查；就學區涉及二以上直轄市、縣（市）者，應自行協商其中之一為主政機關，會商訂定該區特色招生核定作業要點。</w:t>
      </w:r>
    </w:p>
    <w:p w:rsidR="005862D4" w:rsidRPr="00AA6920" w:rsidRDefault="005862D4" w:rsidP="001B2AC5">
      <w:pPr>
        <w:snapToGrid w:val="0"/>
        <w:spacing w:line="240" w:lineRule="atLeast"/>
        <w:ind w:leftChars="675" w:left="31680" w:hangingChars="192" w:firstLine="31680"/>
        <w:jc w:val="both"/>
        <w:rPr>
          <w:rFonts w:ascii="標楷體" w:eastAsia="標楷體" w:hAnsi="標楷體"/>
          <w:sz w:val="28"/>
          <w:szCs w:val="28"/>
        </w:rPr>
      </w:pPr>
      <w:r w:rsidRPr="00AA6920">
        <w:rPr>
          <w:rFonts w:ascii="標楷體" w:eastAsia="標楷體" w:hAnsi="標楷體" w:hint="eastAsia"/>
          <w:sz w:val="28"/>
          <w:szCs w:val="28"/>
        </w:rPr>
        <w:t>二、優質學校</w:t>
      </w:r>
      <w:r w:rsidRPr="00AA6920">
        <w:rPr>
          <w:rFonts w:ascii="標楷體" w:eastAsia="標楷體" w:hAnsi="標楷體" w:hint="eastAsia"/>
          <w:bCs/>
          <w:sz w:val="28"/>
          <w:szCs w:val="28"/>
        </w:rPr>
        <w:t>以班（群、</w:t>
      </w:r>
      <w:r w:rsidRPr="00AA6920">
        <w:rPr>
          <w:rFonts w:ascii="標楷體" w:eastAsia="標楷體" w:hAnsi="標楷體" w:hint="eastAsia"/>
          <w:sz w:val="28"/>
          <w:szCs w:val="28"/>
        </w:rPr>
        <w:t>科、組</w:t>
      </w:r>
      <w:r w:rsidRPr="00AA6920">
        <w:rPr>
          <w:rFonts w:ascii="標楷體" w:eastAsia="標楷體" w:hAnsi="標楷體" w:hint="eastAsia"/>
          <w:bCs/>
          <w:sz w:val="28"/>
          <w:szCs w:val="28"/>
        </w:rPr>
        <w:t>）為規劃單位</w:t>
      </w:r>
      <w:r w:rsidRPr="00AA6920">
        <w:rPr>
          <w:rFonts w:ascii="標楷體" w:eastAsia="標楷體" w:hAnsi="標楷體" w:hint="eastAsia"/>
          <w:sz w:val="28"/>
          <w:szCs w:val="28"/>
        </w:rPr>
        <w:t>，向各該主管機關提出申請辦理特色招生；申請辦理考試分發入學及高級中等學校專業群、科特色招生甄選入學者，並應擬具計畫書，其計畫書內容應包括採特色招生之目標與理由、自我評估、課程規劃、師資條件、教學資源、辦理方式、學生輔導方式、編班方式、招生比率、學生表現、學校評鑑及預期成果。</w:t>
      </w:r>
    </w:p>
    <w:p w:rsidR="005862D4" w:rsidRPr="00AA6920" w:rsidRDefault="005862D4" w:rsidP="001B2AC5">
      <w:pPr>
        <w:snapToGrid w:val="0"/>
        <w:spacing w:line="240" w:lineRule="atLeast"/>
        <w:ind w:leftChars="675" w:left="31680" w:hangingChars="192" w:firstLine="31680"/>
        <w:jc w:val="both"/>
        <w:rPr>
          <w:rFonts w:ascii="標楷體" w:eastAsia="標楷體" w:hAnsi="標楷體"/>
          <w:sz w:val="28"/>
          <w:szCs w:val="28"/>
        </w:rPr>
      </w:pPr>
      <w:r w:rsidRPr="00AA6920">
        <w:rPr>
          <w:rFonts w:ascii="標楷體" w:eastAsia="標楷體" w:hAnsi="標楷體" w:hint="eastAsia"/>
          <w:sz w:val="28"/>
          <w:szCs w:val="28"/>
        </w:rPr>
        <w:t>三、</w:t>
      </w:r>
      <w:r w:rsidRPr="00AA6920">
        <w:rPr>
          <w:rFonts w:ascii="標楷體" w:eastAsia="標楷體" w:hAnsi="標楷體" w:hint="eastAsia"/>
          <w:bCs/>
          <w:sz w:val="28"/>
          <w:szCs w:val="28"/>
        </w:rPr>
        <w:t>直轄市、縣（市）</w:t>
      </w:r>
      <w:r w:rsidRPr="00AA6920">
        <w:rPr>
          <w:rFonts w:ascii="標楷體" w:eastAsia="標楷體" w:hAnsi="標楷體" w:hint="eastAsia"/>
          <w:sz w:val="28"/>
          <w:szCs w:val="28"/>
        </w:rPr>
        <w:t>主管機關應成立審查會，審查前款計畫書；就學區內學校分屬不同主管機關者，由區內各該主管機關共同成立或委由一主管機關成立審查會，其委員應包括</w:t>
      </w:r>
      <w:r w:rsidRPr="00AA6920">
        <w:rPr>
          <w:rFonts w:ascii="標楷體" w:eastAsia="標楷體" w:hAnsi="標楷體" w:hint="eastAsia"/>
          <w:kern w:val="0"/>
          <w:sz w:val="28"/>
          <w:szCs w:val="28"/>
        </w:rPr>
        <w:t>家長、教師、學校、國民中學與各該主管機關代表及學者專家等</w:t>
      </w:r>
      <w:r w:rsidRPr="00AA6920">
        <w:rPr>
          <w:rFonts w:ascii="標楷體" w:eastAsia="標楷體" w:hAnsi="標楷體" w:cs="細明體" w:hint="eastAsia"/>
          <w:kern w:val="0"/>
          <w:sz w:val="28"/>
          <w:szCs w:val="28"/>
        </w:rPr>
        <w:t>，並應遵守利益迴避原則。</w:t>
      </w:r>
    </w:p>
    <w:p w:rsidR="005862D4" w:rsidRPr="00AA6920" w:rsidRDefault="005862D4" w:rsidP="001B2AC5">
      <w:pPr>
        <w:snapToGrid w:val="0"/>
        <w:spacing w:line="240" w:lineRule="atLeast"/>
        <w:ind w:leftChars="675" w:left="31680" w:hangingChars="192" w:firstLine="31680"/>
        <w:jc w:val="both"/>
        <w:rPr>
          <w:rFonts w:ascii="標楷體" w:eastAsia="標楷體" w:hAnsi="標楷體"/>
          <w:sz w:val="28"/>
          <w:szCs w:val="28"/>
        </w:rPr>
      </w:pPr>
      <w:r w:rsidRPr="00AA6920">
        <w:rPr>
          <w:rFonts w:ascii="標楷體" w:eastAsia="標楷體" w:hAnsi="標楷體" w:hint="eastAsia"/>
          <w:sz w:val="28"/>
          <w:szCs w:val="28"/>
        </w:rPr>
        <w:t>四、直轄市、縣</w:t>
      </w:r>
      <w:r w:rsidRPr="00AA6920">
        <w:rPr>
          <w:rFonts w:ascii="標楷體" w:eastAsia="標楷體" w:hAnsi="標楷體"/>
          <w:sz w:val="28"/>
          <w:szCs w:val="28"/>
        </w:rPr>
        <w:t>(</w:t>
      </w:r>
      <w:r w:rsidRPr="00AA6920">
        <w:rPr>
          <w:rFonts w:ascii="標楷體" w:eastAsia="標楷體" w:hAnsi="標楷體" w:hint="eastAsia"/>
          <w:sz w:val="28"/>
          <w:szCs w:val="28"/>
        </w:rPr>
        <w:t>市</w:t>
      </w:r>
      <w:r w:rsidRPr="00AA6920">
        <w:rPr>
          <w:rFonts w:ascii="標楷體" w:eastAsia="標楷體" w:hAnsi="標楷體"/>
          <w:sz w:val="28"/>
          <w:szCs w:val="28"/>
        </w:rPr>
        <w:t>)</w:t>
      </w:r>
      <w:r w:rsidRPr="00AA6920">
        <w:rPr>
          <w:rFonts w:ascii="標楷體" w:eastAsia="標楷體" w:hAnsi="標楷體" w:hint="eastAsia"/>
          <w:sz w:val="28"/>
          <w:szCs w:val="28"/>
        </w:rPr>
        <w:t>主管機關應於辦理招生前一年八月三十一日前，將前款審查結果與經各該主管機關核定之辦理特色招生之學校及招生名額，報中央主管機關備查後公告。</w:t>
      </w:r>
    </w:p>
    <w:p w:rsidR="005862D4" w:rsidRPr="00AA6920" w:rsidRDefault="005862D4" w:rsidP="001B2AC5">
      <w:pPr>
        <w:snapToGrid w:val="0"/>
        <w:spacing w:line="240" w:lineRule="atLeast"/>
        <w:ind w:leftChars="331" w:left="31680" w:hangingChars="300" w:firstLine="31680"/>
        <w:jc w:val="both"/>
        <w:rPr>
          <w:rFonts w:ascii="標楷體" w:eastAsia="標楷體" w:hAnsi="標楷體"/>
          <w:sz w:val="28"/>
          <w:szCs w:val="28"/>
        </w:rPr>
      </w:pPr>
      <w:r w:rsidRPr="00AA6920">
        <w:rPr>
          <w:rFonts w:ascii="標楷體" w:eastAsia="標楷體" w:hAnsi="標楷體" w:hint="eastAsia"/>
          <w:sz w:val="28"/>
          <w:szCs w:val="28"/>
        </w:rPr>
        <w:t xml:space="preserve">　　　學校經核定辦理特色招生者，其以後學年度申請繼續辦理時，得經各該主管機關核准，免提前項第二款計畫書；其得免提計畫書之學年度，不得超過二年。</w:t>
      </w:r>
    </w:p>
    <w:p w:rsidR="005862D4" w:rsidRPr="00AA6920" w:rsidRDefault="005862D4" w:rsidP="001B2AC5">
      <w:pPr>
        <w:snapToGrid w:val="0"/>
        <w:spacing w:line="240" w:lineRule="atLeast"/>
        <w:ind w:leftChars="-17" w:left="31680" w:hangingChars="580" w:firstLine="31680"/>
        <w:jc w:val="both"/>
        <w:rPr>
          <w:rFonts w:ascii="標楷體" w:eastAsia="標楷體" w:hAnsi="標楷體"/>
          <w:sz w:val="28"/>
          <w:szCs w:val="28"/>
        </w:rPr>
      </w:pPr>
      <w:r w:rsidRPr="00AA6920">
        <w:rPr>
          <w:rFonts w:ascii="標楷體" w:eastAsia="標楷體" w:hAnsi="標楷體" w:cs="細明體" w:hint="eastAsia"/>
          <w:kern w:val="0"/>
          <w:sz w:val="28"/>
          <w:szCs w:val="28"/>
        </w:rPr>
        <w:t>第十四條</w:t>
      </w:r>
      <w:r w:rsidRPr="00AA6920">
        <w:rPr>
          <w:rFonts w:ascii="標楷體" w:eastAsia="標楷體" w:hAnsi="標楷體" w:cs="細明體"/>
          <w:kern w:val="0"/>
          <w:sz w:val="28"/>
          <w:szCs w:val="28"/>
        </w:rPr>
        <w:t xml:space="preserve">    </w:t>
      </w:r>
      <w:r w:rsidRPr="00AA6920">
        <w:rPr>
          <w:rFonts w:ascii="標楷體" w:eastAsia="標楷體" w:hAnsi="標楷體" w:hint="eastAsia"/>
          <w:sz w:val="28"/>
          <w:szCs w:val="28"/>
        </w:rPr>
        <w:t>前條第一項第二款所稱優質學校，由各該主管機關依下列基準辦理認證，並報中央主管機關審議後，於每年一月三十一日前公告：</w:t>
      </w:r>
    </w:p>
    <w:p w:rsidR="005862D4" w:rsidRPr="00AA6920" w:rsidRDefault="005862D4" w:rsidP="001B2AC5">
      <w:pPr>
        <w:snapToGrid w:val="0"/>
        <w:spacing w:line="240" w:lineRule="atLeast"/>
        <w:ind w:leftChars="566" w:left="31680" w:hangingChars="280" w:firstLine="31680"/>
        <w:jc w:val="both"/>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一、</w:t>
      </w:r>
      <w:r w:rsidRPr="00AA6920">
        <w:rPr>
          <w:rFonts w:eastAsia="標楷體" w:hAnsi="標楷體" w:hint="eastAsia"/>
          <w:sz w:val="28"/>
          <w:szCs w:val="28"/>
        </w:rPr>
        <w:t>學校評鑑成績：最近一次學校（校務）評鑑各評鑑項目達八十分以上。</w:t>
      </w:r>
    </w:p>
    <w:p w:rsidR="005862D4" w:rsidRPr="00AA6920" w:rsidRDefault="005862D4" w:rsidP="001B2AC5">
      <w:pPr>
        <w:snapToGrid w:val="0"/>
        <w:spacing w:line="240" w:lineRule="atLeast"/>
        <w:ind w:leftChars="566" w:left="31680" w:hangingChars="280" w:firstLine="31680"/>
        <w:jc w:val="both"/>
        <w:rPr>
          <w:rFonts w:eastAsia="標楷體" w:hAnsi="標楷體"/>
          <w:sz w:val="28"/>
          <w:szCs w:val="28"/>
        </w:rPr>
      </w:pPr>
      <w:r w:rsidRPr="00AA6920">
        <w:rPr>
          <w:rFonts w:ascii="標楷體" w:eastAsia="標楷體" w:hAnsi="標楷體" w:hint="eastAsia"/>
          <w:sz w:val="28"/>
          <w:szCs w:val="28"/>
        </w:rPr>
        <w:t xml:space="preserve">　二、專</w:t>
      </w:r>
      <w:r w:rsidRPr="00AA6920">
        <w:rPr>
          <w:rFonts w:eastAsia="標楷體" w:hAnsi="標楷體" w:hint="eastAsia"/>
          <w:sz w:val="28"/>
          <w:szCs w:val="28"/>
        </w:rPr>
        <w:t>任教師及合格教師應達一定比率以上。</w:t>
      </w:r>
    </w:p>
    <w:p w:rsidR="005862D4" w:rsidRPr="00AA6920" w:rsidRDefault="005862D4" w:rsidP="001B2AC5">
      <w:pPr>
        <w:snapToGrid w:val="0"/>
        <w:spacing w:line="240" w:lineRule="atLeast"/>
        <w:ind w:leftChars="566" w:left="31680" w:hangingChars="280" w:firstLine="31680"/>
        <w:jc w:val="both"/>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三、最近三年內無重大違反教育法令或重大缺失。</w:t>
      </w:r>
    </w:p>
    <w:p w:rsidR="005862D4" w:rsidRPr="00AA6920" w:rsidRDefault="005862D4" w:rsidP="001B2AC5">
      <w:pPr>
        <w:widowControl/>
        <w:snapToGrid w:val="0"/>
        <w:spacing w:line="240" w:lineRule="atLeast"/>
        <w:ind w:leftChars="527" w:left="31680" w:hangingChars="150" w:firstLine="31680"/>
        <w:rPr>
          <w:rFonts w:ascii="Calibri" w:hAnsi="Calibri" w:cs="新細明體"/>
          <w:kern w:val="0"/>
          <w:sz w:val="28"/>
          <w:szCs w:val="28"/>
          <w:lang w:bidi="hi-IN"/>
        </w:rPr>
      </w:pPr>
      <w:r w:rsidRPr="00AA6920">
        <w:rPr>
          <w:rFonts w:ascii="標楷體" w:eastAsia="標楷體" w:hAnsi="標楷體" w:cs="新細明體"/>
          <w:kern w:val="0"/>
          <w:sz w:val="28"/>
          <w:szCs w:val="28"/>
          <w:lang w:bidi="hi-IN"/>
        </w:rPr>
        <w:t xml:space="preserve">   </w:t>
      </w:r>
      <w:r w:rsidRPr="00AA6920">
        <w:rPr>
          <w:rFonts w:ascii="標楷體" w:eastAsia="標楷體" w:hAnsi="標楷體" w:cs="新細明體" w:hint="eastAsia"/>
          <w:kern w:val="0"/>
          <w:sz w:val="28"/>
          <w:szCs w:val="28"/>
          <w:lang w:bidi="hi-IN"/>
        </w:rPr>
        <w:t>前項第二款專任教師比率及合格教師比率，由中央主管機關定之。</w:t>
      </w:r>
    </w:p>
    <w:p w:rsidR="005862D4" w:rsidRPr="00AA6920" w:rsidRDefault="005862D4" w:rsidP="001B2AC5">
      <w:pPr>
        <w:snapToGrid w:val="0"/>
        <w:spacing w:line="240" w:lineRule="atLeast"/>
        <w:ind w:leftChars="368" w:left="31680" w:hangingChars="285" w:firstLine="31680"/>
        <w:jc w:val="both"/>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學校得向各該主管機關申請優質學校認證；經各該主管機關審查通過，報中央主管機關審議核定後，由各該主管機關將認證結果送達學校，並於每年一月三十一日前公告。</w:t>
      </w:r>
    </w:p>
    <w:p w:rsidR="005862D4" w:rsidRPr="00AA6920" w:rsidRDefault="005862D4" w:rsidP="001B2AC5">
      <w:pPr>
        <w:snapToGrid w:val="0"/>
        <w:spacing w:line="240" w:lineRule="atLeast"/>
        <w:ind w:leftChars="215" w:left="31680" w:hangingChars="400" w:firstLine="31680"/>
        <w:jc w:val="both"/>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 xml:space="preserve">　　　中央主管機關主管之學校依前項規定申請認證，其</w:t>
      </w:r>
      <w:r w:rsidRPr="00AA6920">
        <w:rPr>
          <w:rFonts w:ascii="標楷體" w:eastAsia="標楷體" w:hAnsi="標楷體" w:hint="eastAsia"/>
          <w:bCs/>
          <w:sz w:val="28"/>
          <w:szCs w:val="28"/>
        </w:rPr>
        <w:t>受理及審查</w:t>
      </w:r>
      <w:r w:rsidRPr="00AA6920">
        <w:rPr>
          <w:rFonts w:ascii="標楷體" w:eastAsia="標楷體" w:hAnsi="標楷體" w:hint="eastAsia"/>
          <w:sz w:val="28"/>
          <w:szCs w:val="28"/>
        </w:rPr>
        <w:t>，由中央主管機關委任教育部國民及學前教育署為之。</w:t>
      </w:r>
    </w:p>
    <w:p w:rsidR="005862D4" w:rsidRPr="00AA6920" w:rsidRDefault="005862D4" w:rsidP="001B2AC5">
      <w:pPr>
        <w:snapToGrid w:val="0"/>
        <w:spacing w:line="240" w:lineRule="atLeast"/>
        <w:ind w:leftChars="677" w:left="31680" w:hangingChars="5" w:firstLine="31680"/>
        <w:jc w:val="both"/>
        <w:rPr>
          <w:rFonts w:ascii="標楷體" w:eastAsia="標楷體" w:hAnsi="標楷體"/>
          <w:sz w:val="28"/>
          <w:szCs w:val="28"/>
        </w:rPr>
      </w:pPr>
      <w:r w:rsidRPr="00AA6920">
        <w:rPr>
          <w:rFonts w:ascii="標楷體" w:eastAsia="標楷體" w:hAnsi="標楷體" w:hint="eastAsia"/>
          <w:sz w:val="28"/>
          <w:szCs w:val="28"/>
        </w:rPr>
        <w:t>各該主管機關就第三項之申請，經審查結果不通過者，應通知學校，學校不服者，得向各該主管機關申訴，並以一次為限。</w:t>
      </w:r>
    </w:p>
    <w:p w:rsidR="005862D4" w:rsidRPr="001B2AC5" w:rsidRDefault="005862D4" w:rsidP="001B2AC5">
      <w:pPr>
        <w:snapToGrid w:val="0"/>
        <w:spacing w:line="240" w:lineRule="atLeast"/>
        <w:ind w:leftChars="-11" w:left="31680" w:hangingChars="594" w:firstLine="31680"/>
        <w:jc w:val="both"/>
        <w:rPr>
          <w:rFonts w:ascii="標楷體" w:eastAsia="標楷體" w:hAnsi="標楷體"/>
          <w:color w:val="FF0000"/>
          <w:sz w:val="28"/>
          <w:szCs w:val="28"/>
        </w:rPr>
      </w:pPr>
      <w:r w:rsidRPr="00AA6920">
        <w:rPr>
          <w:rFonts w:ascii="標楷體" w:eastAsia="標楷體" w:hAnsi="標楷體" w:hint="eastAsia"/>
          <w:sz w:val="28"/>
          <w:szCs w:val="28"/>
        </w:rPr>
        <w:t>第十五條</w:t>
      </w:r>
      <w:r w:rsidRPr="00AA6920">
        <w:rPr>
          <w:rFonts w:ascii="標楷體" w:eastAsia="標楷體" w:hAnsi="標楷體"/>
          <w:sz w:val="28"/>
          <w:szCs w:val="28"/>
        </w:rPr>
        <w:t xml:space="preserve">    </w:t>
      </w:r>
      <w:r w:rsidRPr="001B2AC5">
        <w:rPr>
          <w:rFonts w:ascii="標楷體" w:eastAsia="標楷體" w:hAnsi="標楷體" w:hint="eastAsia"/>
          <w:color w:val="FF0000"/>
          <w:sz w:val="28"/>
          <w:szCs w:val="28"/>
        </w:rPr>
        <w:t>國民中學學生參加特色招生者，應擇一就學區報考並據以分發，不以其具畢業或同等學力資格之國民中學學籍所在地就學區為限。</w:t>
      </w:r>
    </w:p>
    <w:p w:rsidR="005862D4" w:rsidRPr="00AA6920" w:rsidRDefault="005862D4" w:rsidP="001B2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5" w:left="31680" w:hangingChars="105" w:firstLine="31680"/>
        <w:jc w:val="both"/>
        <w:rPr>
          <w:rFonts w:ascii="標楷體" w:eastAsia="標楷體" w:hAnsi="標楷體" w:cs="細明體"/>
          <w:kern w:val="0"/>
          <w:sz w:val="28"/>
          <w:szCs w:val="28"/>
        </w:rPr>
      </w:pPr>
      <w:r w:rsidRPr="00AA6920">
        <w:rPr>
          <w:rFonts w:ascii="標楷體" w:eastAsia="標楷體" w:hAnsi="標楷體" w:cs="細明體" w:hint="eastAsia"/>
          <w:kern w:val="0"/>
          <w:sz w:val="28"/>
          <w:szCs w:val="28"/>
        </w:rPr>
        <w:t>第十六條</w:t>
      </w:r>
      <w:r w:rsidRPr="00AA6920">
        <w:rPr>
          <w:rFonts w:ascii="標楷體" w:eastAsia="標楷體" w:hAnsi="標楷體" w:cs="細明體"/>
          <w:kern w:val="0"/>
          <w:sz w:val="28"/>
          <w:szCs w:val="28"/>
        </w:rPr>
        <w:t xml:space="preserve">    </w:t>
      </w:r>
      <w:r w:rsidRPr="00AA6920">
        <w:rPr>
          <w:rFonts w:ascii="標楷體" w:eastAsia="標楷體" w:hAnsi="標楷體" w:cs="細明體" w:hint="eastAsia"/>
          <w:kern w:val="0"/>
          <w:sz w:val="28"/>
          <w:szCs w:val="28"/>
        </w:rPr>
        <w:t>各種入學方式之辦理時間，規定如下：</w:t>
      </w:r>
    </w:p>
    <w:p w:rsidR="005862D4" w:rsidRPr="001B2AC5" w:rsidRDefault="005862D4" w:rsidP="001B2AC5">
      <w:pPr>
        <w:widowControl/>
        <w:tabs>
          <w:tab w:val="left" w:pos="5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firstLineChars="585" w:firstLine="31680"/>
        <w:jc w:val="both"/>
        <w:rPr>
          <w:rFonts w:ascii="標楷體" w:eastAsia="標楷體" w:hAnsi="標楷體" w:cs="細明體"/>
          <w:color w:val="FF0000"/>
          <w:kern w:val="0"/>
          <w:sz w:val="28"/>
          <w:szCs w:val="28"/>
        </w:rPr>
      </w:pPr>
      <w:r w:rsidRPr="00AA6920">
        <w:rPr>
          <w:rFonts w:ascii="標楷體" w:eastAsia="標楷體" w:hAnsi="標楷體" w:cs="細明體" w:hint="eastAsia"/>
          <w:kern w:val="0"/>
          <w:sz w:val="28"/>
          <w:szCs w:val="28"/>
        </w:rPr>
        <w:t>一、</w:t>
      </w:r>
      <w:r w:rsidRPr="001B2AC5">
        <w:rPr>
          <w:rFonts w:ascii="標楷體" w:eastAsia="標楷體" w:hAnsi="標楷體" w:cs="細明體" w:hint="eastAsia"/>
          <w:color w:val="FF0000"/>
          <w:kern w:val="0"/>
          <w:sz w:val="28"/>
          <w:szCs w:val="28"/>
        </w:rPr>
        <w:t>免試入學：</w:t>
      </w:r>
    </w:p>
    <w:p w:rsidR="005862D4" w:rsidRPr="001B2AC5" w:rsidRDefault="005862D4" w:rsidP="001B2AC5">
      <w:pPr>
        <w:widowControl/>
        <w:tabs>
          <w:tab w:val="left" w:pos="916"/>
          <w:tab w:val="left" w:pos="30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916" w:left="31680" w:hangingChars="295" w:firstLine="31680"/>
        <w:jc w:val="both"/>
        <w:rPr>
          <w:rFonts w:ascii="標楷體" w:eastAsia="標楷體" w:hAnsi="標楷體" w:cs="細明體"/>
          <w:color w:val="FF0000"/>
          <w:kern w:val="0"/>
          <w:sz w:val="28"/>
          <w:szCs w:val="28"/>
        </w:rPr>
      </w:pPr>
      <w:r w:rsidRPr="001B2AC5">
        <w:rPr>
          <w:rFonts w:ascii="標楷體" w:eastAsia="標楷體" w:hAnsi="標楷體" w:cs="細明體" w:hint="eastAsia"/>
          <w:color w:val="FF0000"/>
          <w:kern w:val="0"/>
          <w:sz w:val="28"/>
          <w:szCs w:val="28"/>
        </w:rPr>
        <w:t>（一）第一次免試入學：於每年六月辦理分發作業。</w:t>
      </w:r>
    </w:p>
    <w:p w:rsidR="005862D4" w:rsidRPr="001B2AC5" w:rsidRDefault="005862D4" w:rsidP="001B2AC5">
      <w:pPr>
        <w:widowControl/>
        <w:tabs>
          <w:tab w:val="left" w:pos="916"/>
          <w:tab w:val="left" w:pos="30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916" w:left="31680" w:hangingChars="295" w:firstLine="31680"/>
        <w:jc w:val="both"/>
        <w:rPr>
          <w:rFonts w:ascii="標楷體" w:eastAsia="標楷體" w:hAnsi="標楷體" w:cs="細明體"/>
          <w:color w:val="FF0000"/>
          <w:kern w:val="0"/>
          <w:sz w:val="28"/>
          <w:szCs w:val="28"/>
        </w:rPr>
      </w:pPr>
      <w:r w:rsidRPr="001B2AC5">
        <w:rPr>
          <w:rFonts w:ascii="標楷體" w:eastAsia="標楷體" w:hAnsi="標楷體" w:cs="細明體" w:hint="eastAsia"/>
          <w:color w:val="FF0000"/>
          <w:kern w:val="0"/>
          <w:sz w:val="28"/>
          <w:szCs w:val="28"/>
        </w:rPr>
        <w:t>（二）第二次免試入學：第一次免試入學辦理後有餘額時，其第二次分發作業，應與特色招生考試分發入學之分發同時辦理或於其後辦理。</w:t>
      </w:r>
    </w:p>
    <w:p w:rsidR="005862D4" w:rsidRPr="001B2AC5" w:rsidRDefault="005862D4" w:rsidP="001B2AC5">
      <w:pPr>
        <w:widowControl/>
        <w:tabs>
          <w:tab w:val="left" w:pos="916"/>
          <w:tab w:val="left" w:pos="30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916" w:left="31680" w:hangingChars="295" w:firstLine="31680"/>
        <w:jc w:val="both"/>
        <w:rPr>
          <w:rFonts w:ascii="標楷體" w:eastAsia="標楷體" w:hAnsi="標楷體" w:cs="細明體"/>
          <w:color w:val="FF0000"/>
          <w:kern w:val="0"/>
          <w:sz w:val="28"/>
          <w:szCs w:val="28"/>
        </w:rPr>
      </w:pPr>
      <w:r w:rsidRPr="001B2AC5">
        <w:rPr>
          <w:rFonts w:ascii="標楷體" w:eastAsia="標楷體" w:hAnsi="標楷體" w:cs="細明體" w:hint="eastAsia"/>
          <w:color w:val="FF0000"/>
          <w:kern w:val="0"/>
          <w:sz w:val="28"/>
          <w:szCs w:val="28"/>
        </w:rPr>
        <w:t>（三）學校附設國民中學部應屆畢業學生之直升入學，應於第一目第一次免試入學前辦理；直升錄取之學生，應經書面聲明放棄後，始得報名參加第一次免試入學。</w:t>
      </w:r>
    </w:p>
    <w:p w:rsidR="005862D4" w:rsidRPr="001B2AC5" w:rsidRDefault="005862D4" w:rsidP="00A42838">
      <w:pPr>
        <w:widowControl/>
        <w:numPr>
          <w:ilvl w:val="0"/>
          <w:numId w:val="21"/>
        </w:numPr>
        <w:tabs>
          <w:tab w:val="left" w:pos="468"/>
          <w:tab w:val="left" w:pos="103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標楷體" w:eastAsia="標楷體" w:hAnsi="標楷體" w:cs="細明體"/>
          <w:color w:val="FF0000"/>
          <w:kern w:val="0"/>
          <w:sz w:val="28"/>
          <w:szCs w:val="28"/>
        </w:rPr>
      </w:pPr>
      <w:r w:rsidRPr="001B2AC5">
        <w:rPr>
          <w:rFonts w:ascii="標楷體" w:eastAsia="標楷體" w:hAnsi="標楷體" w:cs="細明體" w:hint="eastAsia"/>
          <w:color w:val="FF0000"/>
          <w:kern w:val="0"/>
          <w:sz w:val="28"/>
          <w:szCs w:val="28"/>
        </w:rPr>
        <w:t>特色招生：</w:t>
      </w:r>
    </w:p>
    <w:p w:rsidR="005862D4" w:rsidRPr="001B2AC5" w:rsidRDefault="005862D4" w:rsidP="001B2AC5">
      <w:pPr>
        <w:widowControl/>
        <w:tabs>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705" w:left="31680" w:hangingChars="484" w:firstLine="31680"/>
        <w:jc w:val="both"/>
        <w:rPr>
          <w:rFonts w:ascii="標楷體" w:eastAsia="標楷體" w:hAnsi="標楷體" w:cs="細明體"/>
          <w:color w:val="FF0000"/>
          <w:kern w:val="0"/>
          <w:sz w:val="28"/>
          <w:szCs w:val="28"/>
        </w:rPr>
      </w:pPr>
      <w:r w:rsidRPr="001B2AC5">
        <w:rPr>
          <w:rFonts w:ascii="標楷體" w:eastAsia="標楷體" w:hAnsi="標楷體" w:cs="細明體" w:hint="eastAsia"/>
          <w:color w:val="FF0000"/>
          <w:kern w:val="0"/>
          <w:sz w:val="28"/>
          <w:szCs w:val="28"/>
        </w:rPr>
        <w:t xml:space="preserve">　　（一）甄選入學：其分發或報到，原則應於每年六月與第一次免試入學之分發同時辦理；報到後之各班、科有餘額時，經各該主管機關核准者，得辦理續招，並於第二次免試入學放榜前辦理放榜及報到。</w:t>
      </w:r>
    </w:p>
    <w:p w:rsidR="005862D4" w:rsidRPr="001B2AC5" w:rsidRDefault="005862D4" w:rsidP="001B2AC5">
      <w:pPr>
        <w:widowControl/>
        <w:tabs>
          <w:tab w:val="left" w:pos="1176"/>
          <w:tab w:val="left" w:pos="12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705" w:left="31680" w:hangingChars="484" w:firstLine="31680"/>
        <w:jc w:val="both"/>
        <w:rPr>
          <w:rFonts w:ascii="標楷體" w:eastAsia="標楷體" w:hAnsi="標楷體" w:cs="細明體"/>
          <w:color w:val="FF0000"/>
          <w:kern w:val="0"/>
          <w:sz w:val="28"/>
          <w:szCs w:val="28"/>
        </w:rPr>
      </w:pPr>
      <w:r w:rsidRPr="00AA6920">
        <w:rPr>
          <w:rFonts w:ascii="標楷體" w:eastAsia="標楷體" w:hAnsi="標楷體" w:cs="細明體" w:hint="eastAsia"/>
          <w:kern w:val="0"/>
          <w:sz w:val="28"/>
          <w:szCs w:val="28"/>
        </w:rPr>
        <w:t xml:space="preserve">　</w:t>
      </w:r>
      <w:r w:rsidRPr="00AA6920">
        <w:rPr>
          <w:rFonts w:ascii="標楷體" w:eastAsia="標楷體" w:hAnsi="標楷體" w:cs="細明體"/>
          <w:kern w:val="0"/>
          <w:sz w:val="28"/>
          <w:szCs w:val="28"/>
        </w:rPr>
        <w:t xml:space="preserve">  </w:t>
      </w:r>
      <w:r w:rsidRPr="00AA6920">
        <w:rPr>
          <w:rFonts w:ascii="標楷體" w:eastAsia="標楷體" w:hAnsi="標楷體" w:cs="細明體" w:hint="eastAsia"/>
          <w:kern w:val="0"/>
          <w:sz w:val="28"/>
          <w:szCs w:val="28"/>
        </w:rPr>
        <w:t>（二）</w:t>
      </w:r>
      <w:r w:rsidRPr="001B2AC5">
        <w:rPr>
          <w:rFonts w:ascii="標楷體" w:eastAsia="標楷體" w:hAnsi="標楷體" w:cs="細明體" w:hint="eastAsia"/>
          <w:color w:val="FF0000"/>
          <w:kern w:val="0"/>
          <w:sz w:val="28"/>
          <w:szCs w:val="28"/>
        </w:rPr>
        <w:t>考試分發入學：於每年七月辦理考試，並至遲於當年八月十五日前完成放榜及報到。</w:t>
      </w:r>
    </w:p>
    <w:p w:rsidR="005862D4" w:rsidRPr="001B2AC5" w:rsidRDefault="005862D4" w:rsidP="001B2AC5">
      <w:pPr>
        <w:widowControl/>
        <w:tabs>
          <w:tab w:val="left" w:pos="916"/>
          <w:tab w:val="left" w:pos="163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665" w:left="31680" w:hangingChars="40" w:firstLine="31680"/>
        <w:jc w:val="both"/>
        <w:rPr>
          <w:rFonts w:ascii="標楷體" w:eastAsia="標楷體" w:hAnsi="標楷體" w:cs="細明體"/>
          <w:color w:val="FF0000"/>
          <w:kern w:val="0"/>
          <w:sz w:val="28"/>
          <w:szCs w:val="28"/>
        </w:rPr>
      </w:pPr>
      <w:r w:rsidRPr="00AA6920">
        <w:rPr>
          <w:rFonts w:ascii="標楷體" w:eastAsia="標楷體" w:hAnsi="標楷體" w:cs="細明體"/>
          <w:kern w:val="0"/>
          <w:sz w:val="28"/>
          <w:szCs w:val="28"/>
        </w:rPr>
        <w:t xml:space="preserve"> </w:t>
      </w:r>
      <w:r w:rsidRPr="001B2AC5">
        <w:rPr>
          <w:rFonts w:ascii="標楷體" w:eastAsia="標楷體" w:hAnsi="標楷體" w:cs="細明體" w:hint="eastAsia"/>
          <w:color w:val="FF0000"/>
          <w:kern w:val="0"/>
          <w:sz w:val="28"/>
          <w:szCs w:val="28"/>
        </w:rPr>
        <w:t>同時參加免試入學及特色招生，並均獲錄取者，應擇一學校報到。</w:t>
      </w:r>
    </w:p>
    <w:p w:rsidR="005862D4" w:rsidRPr="001B2AC5" w:rsidRDefault="005862D4" w:rsidP="001B2AC5">
      <w:pPr>
        <w:snapToGrid w:val="0"/>
        <w:spacing w:line="240" w:lineRule="atLeast"/>
        <w:ind w:leftChars="723" w:left="31680"/>
        <w:jc w:val="both"/>
        <w:rPr>
          <w:rFonts w:ascii="標楷體" w:eastAsia="標楷體" w:hAnsi="標楷體" w:cs="細明體"/>
          <w:color w:val="FF0000"/>
          <w:kern w:val="0"/>
          <w:sz w:val="28"/>
          <w:szCs w:val="28"/>
        </w:rPr>
      </w:pPr>
      <w:r w:rsidRPr="001B2AC5">
        <w:rPr>
          <w:rFonts w:ascii="標楷體" w:eastAsia="標楷體" w:hAnsi="標楷體" w:cs="細明體" w:hint="eastAsia"/>
          <w:color w:val="FF0000"/>
          <w:kern w:val="0"/>
          <w:sz w:val="28"/>
          <w:szCs w:val="28"/>
        </w:rPr>
        <w:t>參加第一次免試入學或甄選入學獲錄取，並向錄取學校完成報到手續之學生，應於招生簡章規定期限內，以書面聲明放棄後，始得參加第二次免試入學或特色招生考試分發入學。</w:t>
      </w:r>
    </w:p>
    <w:p w:rsidR="005862D4" w:rsidRPr="001B2AC5" w:rsidRDefault="005862D4" w:rsidP="001B2AC5">
      <w:pPr>
        <w:snapToGrid w:val="0"/>
        <w:spacing w:line="240" w:lineRule="atLeast"/>
        <w:ind w:leftChars="12" w:left="31680" w:hangingChars="605" w:firstLine="31680"/>
        <w:jc w:val="both"/>
        <w:rPr>
          <w:rFonts w:ascii="標楷體" w:eastAsia="標楷體" w:hAnsi="標楷體"/>
          <w:color w:val="FF0000"/>
          <w:sz w:val="28"/>
          <w:szCs w:val="28"/>
        </w:rPr>
      </w:pPr>
      <w:r w:rsidRPr="00AA6920">
        <w:rPr>
          <w:rFonts w:ascii="標楷體" w:eastAsia="標楷體" w:hAnsi="標楷體" w:hint="eastAsia"/>
          <w:sz w:val="28"/>
          <w:szCs w:val="28"/>
        </w:rPr>
        <w:t>第十七條</w:t>
      </w:r>
      <w:r w:rsidRPr="00AA6920">
        <w:rPr>
          <w:rFonts w:ascii="標楷體" w:eastAsia="標楷體" w:hAnsi="標楷體"/>
          <w:sz w:val="28"/>
          <w:szCs w:val="28"/>
        </w:rPr>
        <w:t xml:space="preserve">    </w:t>
      </w:r>
      <w:r w:rsidRPr="001B2AC5">
        <w:rPr>
          <w:rFonts w:ascii="標楷體" w:eastAsia="標楷體" w:hAnsi="標楷體" w:hint="eastAsia"/>
          <w:color w:val="FF0000"/>
          <w:sz w:val="28"/>
          <w:szCs w:val="28"/>
        </w:rPr>
        <w:t>各就學區之特色招生總名額不得超過核定招生總名額百分之二十五，特色招生考試分發入學未招滿之名額，不得續招，亦不得移列調整至其他入學方式使用。</w:t>
      </w:r>
    </w:p>
    <w:p w:rsidR="005862D4" w:rsidRPr="00AA6920" w:rsidRDefault="005862D4" w:rsidP="001B2AC5">
      <w:pPr>
        <w:snapToGrid w:val="0"/>
        <w:spacing w:line="240" w:lineRule="atLeast"/>
        <w:ind w:leftChars="6" w:left="31680" w:hangingChars="625" w:firstLine="31680"/>
        <w:rPr>
          <w:rFonts w:ascii="標楷體" w:eastAsia="標楷體" w:hAnsi="標楷體"/>
          <w:sz w:val="28"/>
          <w:szCs w:val="28"/>
        </w:rPr>
      </w:pPr>
      <w:r w:rsidRPr="00AA6920">
        <w:rPr>
          <w:rFonts w:ascii="標楷體" w:eastAsia="標楷體" w:hAnsi="標楷體" w:cs="Arial" w:hint="eastAsia"/>
          <w:sz w:val="28"/>
          <w:szCs w:val="28"/>
        </w:rPr>
        <w:t>第十</w:t>
      </w:r>
      <w:r w:rsidRPr="00AA6920">
        <w:rPr>
          <w:rFonts w:ascii="標楷體" w:eastAsia="標楷體" w:hAnsi="標楷體" w:hint="eastAsia"/>
          <w:sz w:val="28"/>
          <w:szCs w:val="28"/>
        </w:rPr>
        <w:t>八</w:t>
      </w:r>
      <w:r w:rsidRPr="00AA6920">
        <w:rPr>
          <w:rFonts w:ascii="標楷體" w:eastAsia="標楷體" w:hAnsi="標楷體" w:cs="Arial" w:hint="eastAsia"/>
          <w:sz w:val="28"/>
          <w:szCs w:val="28"/>
        </w:rPr>
        <w:t xml:space="preserve">條　</w:t>
      </w:r>
      <w:r w:rsidRPr="00AA6920">
        <w:rPr>
          <w:rFonts w:ascii="標楷體" w:eastAsia="標楷體" w:hAnsi="標楷體" w:cs="Arial"/>
          <w:sz w:val="28"/>
          <w:szCs w:val="28"/>
        </w:rPr>
        <w:t xml:space="preserve">  </w:t>
      </w:r>
      <w:r w:rsidRPr="00AA6920">
        <w:rPr>
          <w:rFonts w:ascii="標楷體" w:eastAsia="標楷體" w:hAnsi="標楷體" w:cs="Arial" w:hint="eastAsia"/>
          <w:sz w:val="28"/>
          <w:szCs w:val="28"/>
        </w:rPr>
        <w:t>本法第三十五條第五項所定各校提供免試入學名額比率不得低於該校核定招生總名額百分之二十五，於學校附設國民中學部者，指學校應另行提供其他國民中學畢業學生申請免試入學之名額比率而言，不包括附設國民中學部直升名額。</w:t>
      </w:r>
    </w:p>
    <w:p w:rsidR="005862D4" w:rsidRPr="00AA6920" w:rsidRDefault="005862D4" w:rsidP="001B2AC5">
      <w:pPr>
        <w:snapToGrid w:val="0"/>
        <w:spacing w:line="240" w:lineRule="atLeast"/>
        <w:ind w:leftChars="274" w:left="31680" w:hangingChars="395" w:firstLine="31680"/>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前項免試入學名額比率，包括第六條第四款第一目自特色招生考試分發入學名額或單獨招生名額移列調整之名額比率。</w:t>
      </w:r>
    </w:p>
    <w:p w:rsidR="005862D4" w:rsidRPr="00AA6920" w:rsidRDefault="005862D4" w:rsidP="001B2AC5">
      <w:pPr>
        <w:snapToGrid w:val="0"/>
        <w:spacing w:line="240" w:lineRule="atLeast"/>
        <w:ind w:leftChars="280" w:left="31680" w:hangingChars="405" w:firstLine="31680"/>
        <w:jc w:val="both"/>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為因應前項名額比率調整需要，學校應於特色招生考試分發入學或單獨招生之招生簡章中載明名額比率調整事項之公告時限。</w:t>
      </w:r>
    </w:p>
    <w:p w:rsidR="005862D4" w:rsidRPr="00AA6920" w:rsidRDefault="005862D4" w:rsidP="001B2AC5">
      <w:pPr>
        <w:snapToGrid w:val="0"/>
        <w:spacing w:line="240" w:lineRule="atLeast"/>
        <w:ind w:leftChars="-18" w:left="31680" w:hangingChars="650" w:firstLine="31680"/>
        <w:jc w:val="both"/>
        <w:rPr>
          <w:rFonts w:ascii="標楷體" w:eastAsia="標楷體" w:hAnsi="標楷體"/>
          <w:sz w:val="28"/>
          <w:szCs w:val="28"/>
        </w:rPr>
      </w:pPr>
      <w:r w:rsidRPr="00AA6920">
        <w:rPr>
          <w:rFonts w:ascii="標楷體" w:eastAsia="標楷體" w:hAnsi="標楷體" w:hint="eastAsia"/>
          <w:sz w:val="28"/>
          <w:szCs w:val="28"/>
        </w:rPr>
        <w:t>第十九條</w:t>
      </w:r>
      <w:r w:rsidRPr="00AA6920">
        <w:rPr>
          <w:rFonts w:ascii="標楷體" w:eastAsia="標楷體" w:hAnsi="標楷體"/>
          <w:sz w:val="28"/>
          <w:szCs w:val="28"/>
        </w:rPr>
        <w:t xml:space="preserve">     </w:t>
      </w:r>
      <w:r w:rsidRPr="00AA6920">
        <w:rPr>
          <w:rFonts w:ascii="標楷體" w:eastAsia="標楷體" w:hAnsi="標楷體" w:hint="eastAsia"/>
          <w:sz w:val="28"/>
          <w:szCs w:val="28"/>
        </w:rPr>
        <w:t>直轄市、縣</w:t>
      </w:r>
      <w:r w:rsidRPr="00AA6920">
        <w:rPr>
          <w:rFonts w:ascii="標楷體" w:eastAsia="標楷體" w:hAnsi="標楷體"/>
          <w:sz w:val="28"/>
          <w:szCs w:val="28"/>
        </w:rPr>
        <w:t>(</w:t>
      </w:r>
      <w:r w:rsidRPr="00AA6920">
        <w:rPr>
          <w:rFonts w:ascii="標楷體" w:eastAsia="標楷體" w:hAnsi="標楷體" w:hint="eastAsia"/>
          <w:sz w:val="28"/>
          <w:szCs w:val="28"/>
        </w:rPr>
        <w:t>市</w:t>
      </w:r>
      <w:r w:rsidRPr="00AA6920">
        <w:rPr>
          <w:rFonts w:ascii="標楷體" w:eastAsia="標楷體" w:hAnsi="標楷體"/>
          <w:sz w:val="28"/>
          <w:szCs w:val="28"/>
        </w:rPr>
        <w:t>)</w:t>
      </w:r>
      <w:r w:rsidRPr="00AA6920">
        <w:rPr>
          <w:rFonts w:ascii="標楷體" w:eastAsia="標楷體" w:hAnsi="標楷體" w:hint="eastAsia"/>
          <w:sz w:val="28"/>
          <w:szCs w:val="28"/>
        </w:rPr>
        <w:t>主管機關應組成入學推動工作小組，研商免試入學、特色招生辦理方式、名額及其他入學招生相關事項。</w:t>
      </w:r>
    </w:p>
    <w:p w:rsidR="005862D4" w:rsidRPr="00AA6920" w:rsidRDefault="005862D4" w:rsidP="001B2AC5">
      <w:pPr>
        <w:snapToGrid w:val="0"/>
        <w:spacing w:line="240" w:lineRule="atLeast"/>
        <w:ind w:leftChars="-18" w:left="31680" w:hangingChars="650" w:firstLine="31680"/>
        <w:jc w:val="both"/>
        <w:rPr>
          <w:rFonts w:ascii="標楷體" w:eastAsia="標楷體" w:hAnsi="標楷體" w:cs="Tahoma"/>
          <w:sz w:val="28"/>
          <w:szCs w:val="28"/>
        </w:rPr>
      </w:pPr>
      <w:r w:rsidRPr="00AA6920">
        <w:rPr>
          <w:rFonts w:ascii="標楷體" w:eastAsia="標楷體" w:hAnsi="標楷體" w:hint="eastAsia"/>
          <w:sz w:val="28"/>
          <w:szCs w:val="28"/>
        </w:rPr>
        <w:t xml:space="preserve">　　　</w:t>
      </w:r>
      <w:r w:rsidRPr="00AA6920">
        <w:rPr>
          <w:rFonts w:ascii="標楷體" w:eastAsia="標楷體" w:hAnsi="標楷體"/>
          <w:sz w:val="28"/>
          <w:szCs w:val="28"/>
        </w:rPr>
        <w:t xml:space="preserve">       </w:t>
      </w:r>
      <w:r w:rsidRPr="00AA6920">
        <w:rPr>
          <w:rFonts w:ascii="標楷體" w:eastAsia="標楷體" w:hAnsi="標楷體" w:cs="Tahoma" w:hint="eastAsia"/>
          <w:sz w:val="28"/>
          <w:szCs w:val="28"/>
        </w:rPr>
        <w:t>前項工作小組，由</w:t>
      </w:r>
      <w:r w:rsidRPr="00AA6920">
        <w:rPr>
          <w:rFonts w:ascii="標楷體" w:eastAsia="標楷體" w:hAnsi="標楷體" w:hint="eastAsia"/>
          <w:sz w:val="28"/>
          <w:szCs w:val="28"/>
        </w:rPr>
        <w:t>主管機關</w:t>
      </w:r>
      <w:r w:rsidRPr="00AA6920">
        <w:rPr>
          <w:rFonts w:ascii="標楷體" w:eastAsia="標楷體" w:hAnsi="標楷體" w:cs="Tahoma" w:hint="eastAsia"/>
          <w:sz w:val="28"/>
          <w:szCs w:val="28"/>
        </w:rPr>
        <w:t>首長</w:t>
      </w:r>
      <w:r w:rsidRPr="00AA6920">
        <w:rPr>
          <w:rFonts w:ascii="標楷體" w:eastAsia="標楷體" w:hAnsi="標楷體" w:hint="eastAsia"/>
          <w:sz w:val="28"/>
          <w:szCs w:val="28"/>
        </w:rPr>
        <w:t>或教育局（處）長</w:t>
      </w:r>
      <w:r w:rsidRPr="00AA6920">
        <w:rPr>
          <w:rFonts w:ascii="標楷體" w:eastAsia="標楷體" w:hAnsi="標楷體" w:cs="Tahoma" w:hint="eastAsia"/>
          <w:sz w:val="28"/>
          <w:szCs w:val="28"/>
        </w:rPr>
        <w:t>擔任召集人；小組委員就家長、教師、高級中等學校、國民中學與各該主管機關代表及專家學者聘</w:t>
      </w:r>
      <w:r w:rsidRPr="00AA6920">
        <w:rPr>
          <w:rFonts w:ascii="標楷體" w:eastAsia="標楷體" w:hAnsi="標楷體" w:cs="Tahoma"/>
          <w:sz w:val="28"/>
          <w:szCs w:val="28"/>
        </w:rPr>
        <w:t>(</w:t>
      </w:r>
      <w:r w:rsidRPr="00AA6920">
        <w:rPr>
          <w:rFonts w:ascii="標楷體" w:eastAsia="標楷體" w:hAnsi="標楷體" w:cs="Tahoma" w:hint="eastAsia"/>
          <w:sz w:val="28"/>
          <w:szCs w:val="28"/>
        </w:rPr>
        <w:t>派</w:t>
      </w:r>
      <w:r w:rsidRPr="00AA6920">
        <w:rPr>
          <w:rFonts w:ascii="標楷體" w:eastAsia="標楷體" w:hAnsi="標楷體" w:cs="Tahoma"/>
          <w:sz w:val="28"/>
          <w:szCs w:val="28"/>
        </w:rPr>
        <w:t>)</w:t>
      </w:r>
      <w:r w:rsidRPr="00AA6920">
        <w:rPr>
          <w:rFonts w:ascii="標楷體" w:eastAsia="標楷體" w:hAnsi="標楷體" w:cs="Tahoma" w:hint="eastAsia"/>
          <w:sz w:val="28"/>
          <w:szCs w:val="28"/>
        </w:rPr>
        <w:t>兼之，其中國民中學代表人數，不得低於高級中等學校代表委員人數。</w:t>
      </w:r>
    </w:p>
    <w:p w:rsidR="005862D4" w:rsidRPr="00AA6920" w:rsidRDefault="005862D4" w:rsidP="001B2AC5">
      <w:pPr>
        <w:snapToGrid w:val="0"/>
        <w:spacing w:line="240" w:lineRule="atLeast"/>
        <w:ind w:leftChars="-11" w:left="31680" w:hangingChars="645" w:firstLine="31680"/>
        <w:jc w:val="both"/>
        <w:rPr>
          <w:rFonts w:ascii="標楷體" w:eastAsia="標楷體" w:hAnsi="標楷體" w:cs="Tahoma"/>
          <w:sz w:val="28"/>
          <w:szCs w:val="28"/>
        </w:rPr>
      </w:pPr>
      <w:r w:rsidRPr="00AA6920">
        <w:rPr>
          <w:rFonts w:ascii="標楷體" w:eastAsia="標楷體" w:hAnsi="標楷體" w:cs="Tahoma" w:hint="eastAsia"/>
          <w:sz w:val="28"/>
          <w:szCs w:val="28"/>
        </w:rPr>
        <w:t xml:space="preserve">第二十條　</w:t>
      </w:r>
      <w:r w:rsidRPr="00AA6920">
        <w:rPr>
          <w:rFonts w:ascii="標楷體" w:eastAsia="標楷體" w:hAnsi="標楷體" w:cs="Tahoma"/>
          <w:sz w:val="28"/>
          <w:szCs w:val="28"/>
        </w:rPr>
        <w:t xml:space="preserve">   </w:t>
      </w:r>
      <w:r w:rsidRPr="00AA6920">
        <w:rPr>
          <w:rFonts w:ascii="標楷體" w:eastAsia="標楷體" w:hAnsi="標楷體" w:cs="Tahoma" w:hint="eastAsia"/>
          <w:sz w:val="28"/>
          <w:szCs w:val="28"/>
        </w:rPr>
        <w:t>各學校應成立學校招生委員會，依本辦法相關規定規劃辦理各種入學方式招生事項，並將學校基本資料、招生科別及名額、資格條件等招生資料，按其招生方式，報第二十一條第一項所定各種入學委員會審查，並彙編成各種入學方式招生簡章，經各種入學委員會報各該主管機關核定後，報中央教育主管機關備查，由各種入學委員會公告之。</w:t>
      </w:r>
    </w:p>
    <w:p w:rsidR="005862D4" w:rsidRPr="00AA6920" w:rsidRDefault="005862D4" w:rsidP="001B2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1" w:left="31680" w:hangingChars="650" w:firstLine="31680"/>
        <w:jc w:val="both"/>
        <w:rPr>
          <w:rFonts w:ascii="標楷體" w:eastAsia="標楷體" w:hAnsi="標楷體" w:cs="細明體"/>
          <w:kern w:val="0"/>
          <w:sz w:val="28"/>
          <w:szCs w:val="28"/>
        </w:rPr>
      </w:pPr>
      <w:r w:rsidRPr="00AA6920">
        <w:rPr>
          <w:rFonts w:ascii="標楷體" w:eastAsia="標楷體" w:hAnsi="標楷體" w:hint="eastAsia"/>
          <w:sz w:val="28"/>
          <w:szCs w:val="28"/>
        </w:rPr>
        <w:t xml:space="preserve">第二十一條　</w:t>
      </w:r>
      <w:r w:rsidRPr="00AA6920">
        <w:rPr>
          <w:rFonts w:ascii="標楷體" w:eastAsia="標楷體" w:hAnsi="標楷體"/>
          <w:sz w:val="28"/>
          <w:szCs w:val="28"/>
        </w:rPr>
        <w:t xml:space="preserve"> </w:t>
      </w:r>
      <w:r w:rsidRPr="00AA6920">
        <w:rPr>
          <w:rFonts w:ascii="標楷體" w:eastAsia="標楷體" w:hAnsi="標楷體" w:cs="細明體" w:hint="eastAsia"/>
          <w:kern w:val="0"/>
          <w:sz w:val="28"/>
          <w:szCs w:val="28"/>
        </w:rPr>
        <w:t>除本辦法規定得採單獨招生方式者外，各就學區學校應聯合成立各就學區免試入學委員會、特色招生甄選入學委員會及特色招生考試分發入學委員會，並依第十九條各就學區入學推動工作小組之決議，辦理免試入學、特色招生甄選入學及特色招生考試分發入學等招生工作。</w:t>
      </w:r>
    </w:p>
    <w:p w:rsidR="005862D4" w:rsidRPr="00AA6920" w:rsidRDefault="005862D4" w:rsidP="001B2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1" w:left="31680" w:hangingChars="650" w:firstLine="31680"/>
        <w:jc w:val="both"/>
        <w:rPr>
          <w:rFonts w:ascii="標楷體" w:eastAsia="標楷體" w:hAnsi="標楷體" w:cs="細明體"/>
          <w:kern w:val="0"/>
          <w:sz w:val="28"/>
          <w:szCs w:val="28"/>
        </w:rPr>
      </w:pPr>
      <w:r w:rsidRPr="00AA6920">
        <w:rPr>
          <w:rFonts w:ascii="標楷體" w:eastAsia="標楷體" w:hAnsi="標楷體" w:cs="細明體"/>
          <w:kern w:val="0"/>
          <w:sz w:val="28"/>
          <w:szCs w:val="28"/>
        </w:rPr>
        <w:t xml:space="preserve">             </w:t>
      </w:r>
      <w:r w:rsidRPr="00AA6920">
        <w:rPr>
          <w:rFonts w:ascii="標楷體" w:eastAsia="標楷體" w:hAnsi="標楷體" w:cs="細明體" w:hint="eastAsia"/>
          <w:kern w:val="0"/>
          <w:sz w:val="28"/>
          <w:szCs w:val="28"/>
        </w:rPr>
        <w:t>前項各種入學委員會委員，由</w:t>
      </w:r>
      <w:r w:rsidRPr="00AA6920">
        <w:rPr>
          <w:rFonts w:ascii="標楷體" w:eastAsia="標楷體" w:hAnsi="標楷體" w:hint="eastAsia"/>
          <w:sz w:val="28"/>
          <w:szCs w:val="28"/>
        </w:rPr>
        <w:t>直轄市、縣</w:t>
      </w:r>
      <w:r w:rsidRPr="00AA6920">
        <w:rPr>
          <w:rFonts w:ascii="標楷體" w:eastAsia="標楷體" w:hAnsi="標楷體"/>
          <w:sz w:val="28"/>
          <w:szCs w:val="28"/>
        </w:rPr>
        <w:t>(</w:t>
      </w:r>
      <w:r w:rsidRPr="00AA6920">
        <w:rPr>
          <w:rFonts w:ascii="標楷體" w:eastAsia="標楷體" w:hAnsi="標楷體" w:hint="eastAsia"/>
          <w:sz w:val="28"/>
          <w:szCs w:val="28"/>
        </w:rPr>
        <w:t>市</w:t>
      </w:r>
      <w:r w:rsidRPr="00AA6920">
        <w:rPr>
          <w:rFonts w:ascii="標楷體" w:eastAsia="標楷體" w:hAnsi="標楷體"/>
          <w:sz w:val="28"/>
          <w:szCs w:val="28"/>
        </w:rPr>
        <w:t>)</w:t>
      </w:r>
      <w:r w:rsidRPr="00AA6920">
        <w:rPr>
          <w:rFonts w:ascii="標楷體" w:eastAsia="標楷體" w:hAnsi="標楷體" w:cs="細明體" w:hint="eastAsia"/>
          <w:kern w:val="0"/>
          <w:sz w:val="28"/>
          <w:szCs w:val="28"/>
        </w:rPr>
        <w:t>主管機關、學校校長與教務主任、國民中學校長、教師及家長代表組成，其中國民中學校長、教師及家長等代表人數，不得少於委員總人數四分之一，且國民中學校長代表人數不得少於教師及家長代表人數之總和。</w:t>
      </w:r>
    </w:p>
    <w:p w:rsidR="005862D4" w:rsidRPr="00AA6920" w:rsidRDefault="005862D4" w:rsidP="001B2AC5">
      <w:pPr>
        <w:pStyle w:val="BodyTextIndent3"/>
        <w:snapToGrid w:val="0"/>
        <w:spacing w:line="240" w:lineRule="atLeast"/>
        <w:ind w:leftChars="-11" w:left="31680" w:hangingChars="650" w:firstLine="31680"/>
        <w:rPr>
          <w:rFonts w:cs="細明體"/>
          <w:kern w:val="0"/>
          <w:sz w:val="28"/>
          <w:szCs w:val="28"/>
        </w:rPr>
      </w:pPr>
      <w:r w:rsidRPr="00AA6920">
        <w:rPr>
          <w:rFonts w:cs="細明體" w:hint="eastAsia"/>
          <w:kern w:val="0"/>
          <w:sz w:val="28"/>
          <w:szCs w:val="28"/>
        </w:rPr>
        <w:t xml:space="preserve">　</w:t>
      </w:r>
      <w:r w:rsidRPr="00AA6920">
        <w:rPr>
          <w:rFonts w:cs="細明體"/>
          <w:kern w:val="0"/>
          <w:sz w:val="28"/>
          <w:szCs w:val="28"/>
        </w:rPr>
        <w:t xml:space="preserve">           </w:t>
      </w:r>
      <w:r w:rsidRPr="00AA6920">
        <w:rPr>
          <w:rFonts w:cs="細明體" w:hint="eastAsia"/>
          <w:kern w:val="0"/>
          <w:sz w:val="28"/>
          <w:szCs w:val="28"/>
        </w:rPr>
        <w:t>各就學區之學校數低於十五校，未能依前項規定組成入學委員會者，得報直轄市、縣</w:t>
      </w:r>
      <w:r w:rsidRPr="00AA6920">
        <w:rPr>
          <w:rFonts w:cs="細明體"/>
          <w:kern w:val="0"/>
          <w:sz w:val="28"/>
          <w:szCs w:val="28"/>
        </w:rPr>
        <w:t>(</w:t>
      </w:r>
      <w:r w:rsidRPr="00AA6920">
        <w:rPr>
          <w:rFonts w:cs="細明體" w:hint="eastAsia"/>
          <w:kern w:val="0"/>
          <w:sz w:val="28"/>
          <w:szCs w:val="28"/>
        </w:rPr>
        <w:t>市</w:t>
      </w:r>
      <w:r w:rsidRPr="00AA6920">
        <w:rPr>
          <w:rFonts w:cs="細明體"/>
          <w:kern w:val="0"/>
          <w:sz w:val="28"/>
          <w:szCs w:val="28"/>
        </w:rPr>
        <w:t>)</w:t>
      </w:r>
      <w:r w:rsidRPr="00AA6920">
        <w:rPr>
          <w:rFonts w:cs="細明體" w:hint="eastAsia"/>
          <w:kern w:val="0"/>
          <w:sz w:val="28"/>
          <w:szCs w:val="28"/>
        </w:rPr>
        <w:t>主管機關核准後，調整委員人數，不受前項規定之限制。</w:t>
      </w:r>
    </w:p>
    <w:p w:rsidR="005862D4" w:rsidRPr="00AA6920" w:rsidRDefault="005862D4" w:rsidP="001B2AC5">
      <w:pPr>
        <w:snapToGrid w:val="0"/>
        <w:spacing w:line="240" w:lineRule="atLeast"/>
        <w:ind w:leftChars="-11" w:left="31680" w:hangingChars="650" w:firstLine="31680"/>
        <w:jc w:val="both"/>
        <w:rPr>
          <w:rFonts w:ascii="標楷體" w:eastAsia="標楷體" w:hAnsi="標楷體" w:cs="細明體"/>
          <w:kern w:val="0"/>
          <w:sz w:val="28"/>
          <w:szCs w:val="28"/>
        </w:rPr>
      </w:pPr>
      <w:r w:rsidRPr="00AA6920">
        <w:rPr>
          <w:rFonts w:ascii="標楷體" w:eastAsia="標楷體" w:hAnsi="標楷體" w:cs="細明體" w:hint="eastAsia"/>
          <w:kern w:val="0"/>
          <w:sz w:val="28"/>
          <w:szCs w:val="28"/>
        </w:rPr>
        <w:t xml:space="preserve">　</w:t>
      </w:r>
      <w:r w:rsidRPr="00AA6920">
        <w:rPr>
          <w:rFonts w:ascii="標楷體" w:eastAsia="標楷體" w:hAnsi="標楷體" w:cs="細明體"/>
          <w:kern w:val="0"/>
          <w:sz w:val="28"/>
          <w:szCs w:val="28"/>
        </w:rPr>
        <w:t xml:space="preserve">           </w:t>
      </w:r>
      <w:r w:rsidRPr="00AA6920">
        <w:rPr>
          <w:rFonts w:ascii="標楷體" w:eastAsia="標楷體" w:hAnsi="標楷體" w:cs="細明體" w:hint="eastAsia"/>
          <w:kern w:val="0"/>
          <w:sz w:val="28"/>
          <w:szCs w:val="28"/>
        </w:rPr>
        <w:t>第一項各種入學委員會，均應成立申訴及緊急事件處理專案小組，負責辦理有關招生各種申訴及緊急事件。</w:t>
      </w:r>
    </w:p>
    <w:p w:rsidR="005862D4" w:rsidRPr="00AA6920" w:rsidRDefault="005862D4" w:rsidP="001B2AC5">
      <w:pPr>
        <w:snapToGrid w:val="0"/>
        <w:spacing w:line="240" w:lineRule="atLeast"/>
        <w:ind w:leftChars="-6" w:left="31680" w:hangingChars="655" w:firstLine="31680"/>
        <w:jc w:val="both"/>
        <w:rPr>
          <w:rFonts w:ascii="標楷體" w:eastAsia="標楷體" w:hAnsi="標楷體"/>
          <w:sz w:val="28"/>
          <w:szCs w:val="28"/>
        </w:rPr>
      </w:pPr>
      <w:r w:rsidRPr="00AA6920">
        <w:rPr>
          <w:rFonts w:ascii="標楷體" w:eastAsia="標楷體" w:hAnsi="標楷體" w:hint="eastAsia"/>
          <w:sz w:val="28"/>
          <w:szCs w:val="28"/>
        </w:rPr>
        <w:t>第二十二條</w:t>
      </w:r>
      <w:r w:rsidRPr="00AA6920">
        <w:rPr>
          <w:rFonts w:ascii="標楷體" w:eastAsia="標楷體" w:hAnsi="標楷體"/>
          <w:sz w:val="28"/>
          <w:szCs w:val="28"/>
        </w:rPr>
        <w:t xml:space="preserve">   </w:t>
      </w:r>
      <w:r w:rsidRPr="00AA6920">
        <w:rPr>
          <w:rFonts w:ascii="標楷體" w:eastAsia="標楷體" w:hAnsi="標楷體" w:hint="eastAsia"/>
          <w:sz w:val="28"/>
          <w:szCs w:val="28"/>
        </w:rPr>
        <w:t>各就學區各種入學委員會應推派代表，聯合成立全國各種入學委員會，協調各就學區招生入學相關事項。</w:t>
      </w:r>
    </w:p>
    <w:p w:rsidR="005862D4" w:rsidRPr="00AA6920" w:rsidRDefault="005862D4" w:rsidP="001B2AC5">
      <w:pPr>
        <w:snapToGrid w:val="0"/>
        <w:spacing w:line="240" w:lineRule="atLeast"/>
        <w:ind w:left="31680" w:hangingChars="650" w:firstLine="31680"/>
        <w:jc w:val="both"/>
        <w:rPr>
          <w:rFonts w:ascii="標楷體" w:eastAsia="標楷體" w:hAnsi="標楷體"/>
          <w:sz w:val="28"/>
          <w:szCs w:val="28"/>
        </w:rPr>
      </w:pPr>
      <w:r w:rsidRPr="00AA6920">
        <w:rPr>
          <w:rFonts w:ascii="標楷體" w:eastAsia="標楷體" w:hAnsi="標楷體" w:hint="eastAsia"/>
          <w:sz w:val="28"/>
          <w:szCs w:val="28"/>
        </w:rPr>
        <w:t>第二十三條</w:t>
      </w:r>
      <w:r w:rsidRPr="00AA6920">
        <w:rPr>
          <w:rFonts w:ascii="標楷體" w:eastAsia="標楷體" w:hAnsi="標楷體"/>
          <w:sz w:val="28"/>
          <w:szCs w:val="28"/>
        </w:rPr>
        <w:t xml:space="preserve">   </w:t>
      </w:r>
      <w:r w:rsidRPr="00AA6920">
        <w:rPr>
          <w:rFonts w:ascii="標楷體" w:eastAsia="標楷體" w:hAnsi="標楷體" w:cs="細明體" w:hint="eastAsia"/>
          <w:sz w:val="28"/>
          <w:szCs w:val="28"/>
        </w:rPr>
        <w:t>高級中等學校為辦理多元入學招生事宜，得與專科學校五年制成立</w:t>
      </w:r>
      <w:r w:rsidRPr="00AA6920">
        <w:rPr>
          <w:rFonts w:ascii="標楷體" w:eastAsia="標楷體" w:hAnsi="標楷體" w:hint="eastAsia"/>
          <w:sz w:val="28"/>
          <w:szCs w:val="28"/>
        </w:rPr>
        <w:t>全國高級中等學校及專科學校五年制適性入學委員會，由第十九條、第二十一條、前條之各小組、委員會及專科學校五年制各招生委員會遴派委員組成，統合、協調並督導本辦法所定全國各種招生事項。</w:t>
      </w:r>
    </w:p>
    <w:p w:rsidR="005862D4" w:rsidRPr="00AA6920" w:rsidRDefault="005862D4" w:rsidP="001B2AC5">
      <w:pPr>
        <w:snapToGrid w:val="0"/>
        <w:spacing w:line="240" w:lineRule="atLeast"/>
        <w:ind w:leftChars="-17" w:left="31680" w:hangingChars="670" w:firstLine="31680"/>
        <w:jc w:val="both"/>
        <w:rPr>
          <w:rFonts w:ascii="標楷體" w:eastAsia="標楷體" w:hAnsi="標楷體" w:cs="細明體"/>
          <w:kern w:val="0"/>
          <w:sz w:val="28"/>
          <w:szCs w:val="28"/>
        </w:rPr>
      </w:pPr>
      <w:r w:rsidRPr="00AA6920">
        <w:rPr>
          <w:rFonts w:ascii="標楷體" w:eastAsia="標楷體" w:hAnsi="標楷體" w:hint="eastAsia"/>
          <w:sz w:val="28"/>
          <w:szCs w:val="28"/>
        </w:rPr>
        <w:t>第二十四條</w:t>
      </w:r>
      <w:r w:rsidRPr="00AA6920">
        <w:rPr>
          <w:rFonts w:ascii="標楷體" w:eastAsia="標楷體" w:hAnsi="標楷體"/>
          <w:sz w:val="28"/>
          <w:szCs w:val="28"/>
        </w:rPr>
        <w:t xml:space="preserve">   </w:t>
      </w:r>
      <w:r w:rsidRPr="00AA6920">
        <w:rPr>
          <w:rFonts w:ascii="標楷體" w:eastAsia="標楷體" w:hAnsi="標楷體" w:hint="eastAsia"/>
          <w:sz w:val="28"/>
          <w:szCs w:val="28"/>
        </w:rPr>
        <w:t>第</w:t>
      </w:r>
      <w:r w:rsidRPr="00AA6920">
        <w:rPr>
          <w:rFonts w:ascii="標楷體" w:eastAsia="標楷體" w:hAnsi="標楷體" w:cs="細明體" w:hint="eastAsia"/>
          <w:kern w:val="0"/>
          <w:sz w:val="28"/>
          <w:szCs w:val="28"/>
        </w:rPr>
        <w:t>十九條至前條所定各小組、委員會之委員，其迴避事項，依行政程序法之規定。</w:t>
      </w:r>
    </w:p>
    <w:p w:rsidR="005862D4" w:rsidRPr="00AA6920" w:rsidRDefault="005862D4" w:rsidP="001B2AC5">
      <w:pPr>
        <w:snapToGrid w:val="0"/>
        <w:spacing w:line="240" w:lineRule="atLeast"/>
        <w:ind w:leftChars="-23" w:left="31680" w:hangingChars="659" w:firstLine="31680"/>
        <w:jc w:val="both"/>
        <w:rPr>
          <w:rFonts w:ascii="標楷體" w:eastAsia="標楷體" w:hAnsi="標楷體" w:cs="細明體"/>
          <w:kern w:val="0"/>
          <w:sz w:val="28"/>
          <w:szCs w:val="28"/>
        </w:rPr>
      </w:pPr>
      <w:r w:rsidRPr="00AA6920">
        <w:rPr>
          <w:rFonts w:ascii="標楷體" w:eastAsia="標楷體" w:hAnsi="標楷體" w:cs="Arial" w:hint="eastAsia"/>
          <w:sz w:val="28"/>
          <w:szCs w:val="28"/>
        </w:rPr>
        <w:t>第二十五條</w:t>
      </w:r>
      <w:r w:rsidRPr="00AA6920">
        <w:rPr>
          <w:rFonts w:ascii="標楷體" w:eastAsia="標楷體" w:hAnsi="標楷體" w:cs="Arial"/>
          <w:sz w:val="28"/>
          <w:szCs w:val="28"/>
        </w:rPr>
        <w:t xml:space="preserve">   </w:t>
      </w:r>
      <w:r w:rsidRPr="00AA6920">
        <w:rPr>
          <w:rFonts w:ascii="標楷體" w:eastAsia="標楷體" w:hAnsi="標楷體" w:cs="細明體" w:hint="eastAsia"/>
          <w:kern w:val="0"/>
          <w:sz w:val="28"/>
          <w:szCs w:val="28"/>
        </w:rPr>
        <w:t>依本辦法辦理之各種入學招生作業，得向學生收取費用；其費額由入學委員會擬訂，報中央主管機關核定。但低收入戶子女或學生之直系血親尊親屬支領失業給付者，免收取費用。</w:t>
      </w:r>
    </w:p>
    <w:p w:rsidR="005862D4" w:rsidRPr="00AA6920" w:rsidRDefault="005862D4" w:rsidP="001B2AC5">
      <w:pPr>
        <w:snapToGrid w:val="0"/>
        <w:spacing w:line="240" w:lineRule="atLeast"/>
        <w:ind w:leftChars="-18" w:left="31680" w:hangingChars="655" w:firstLine="31680"/>
        <w:jc w:val="both"/>
        <w:rPr>
          <w:rFonts w:ascii="標楷體" w:eastAsia="標楷體" w:hAnsi="標楷體" w:cs="細明體"/>
          <w:kern w:val="0"/>
          <w:sz w:val="28"/>
          <w:szCs w:val="28"/>
        </w:rPr>
      </w:pPr>
      <w:r w:rsidRPr="00AA6920">
        <w:rPr>
          <w:rFonts w:ascii="標楷體" w:eastAsia="標楷體" w:hAnsi="標楷體" w:hint="eastAsia"/>
          <w:sz w:val="28"/>
          <w:szCs w:val="28"/>
        </w:rPr>
        <w:t>第二十六條</w:t>
      </w:r>
      <w:r w:rsidRPr="00AA6920">
        <w:rPr>
          <w:rFonts w:ascii="標楷體" w:eastAsia="標楷體" w:hAnsi="標楷體"/>
          <w:sz w:val="28"/>
          <w:szCs w:val="28"/>
        </w:rPr>
        <w:t xml:space="preserve">   </w:t>
      </w:r>
      <w:r w:rsidRPr="00AA6920">
        <w:rPr>
          <w:rFonts w:ascii="標楷體" w:eastAsia="標楷體" w:hAnsi="標楷體" w:cs="細明體" w:hint="eastAsia"/>
          <w:kern w:val="0"/>
          <w:sz w:val="28"/>
          <w:szCs w:val="28"/>
        </w:rPr>
        <w:t>高級中等學校建教合作班及實用技能學程（班）、特殊教育班之入學招生，其招生名額、方式及其他應遵行事項，依其相關法規之規定辦理。</w:t>
      </w:r>
    </w:p>
    <w:p w:rsidR="005862D4" w:rsidRPr="00AA6920" w:rsidRDefault="005862D4" w:rsidP="001B2AC5">
      <w:pPr>
        <w:snapToGrid w:val="0"/>
        <w:spacing w:line="240" w:lineRule="atLeast"/>
        <w:ind w:leftChars="-17" w:left="31680" w:hangingChars="660" w:firstLine="31680"/>
        <w:jc w:val="both"/>
        <w:rPr>
          <w:rFonts w:ascii="標楷體" w:eastAsia="標楷體" w:hAnsi="標楷體"/>
          <w:sz w:val="28"/>
          <w:szCs w:val="28"/>
        </w:rPr>
      </w:pPr>
      <w:r w:rsidRPr="00AA6920">
        <w:rPr>
          <w:rFonts w:ascii="標楷體" w:eastAsia="標楷體" w:hAnsi="標楷體" w:cs="細明體" w:hint="eastAsia"/>
          <w:kern w:val="0"/>
          <w:sz w:val="28"/>
          <w:szCs w:val="28"/>
        </w:rPr>
        <w:t>第二十七條</w:t>
      </w:r>
      <w:r w:rsidRPr="00AA6920">
        <w:rPr>
          <w:rFonts w:ascii="標楷體" w:eastAsia="標楷體" w:hAnsi="標楷體" w:cs="細明體"/>
          <w:kern w:val="0"/>
          <w:sz w:val="28"/>
          <w:szCs w:val="28"/>
        </w:rPr>
        <w:t xml:space="preserve">   </w:t>
      </w:r>
      <w:r w:rsidRPr="00AA6920">
        <w:rPr>
          <w:rFonts w:ascii="標楷體" w:eastAsia="標楷體" w:hAnsi="標楷體" w:hint="eastAsia"/>
          <w:sz w:val="28"/>
          <w:szCs w:val="28"/>
        </w:rPr>
        <w:t>直轄市、縣</w:t>
      </w:r>
      <w:r w:rsidRPr="00AA6920">
        <w:rPr>
          <w:rFonts w:ascii="標楷體" w:eastAsia="標楷體" w:hAnsi="標楷體"/>
          <w:sz w:val="28"/>
          <w:szCs w:val="28"/>
        </w:rPr>
        <w:t>(</w:t>
      </w:r>
      <w:r w:rsidRPr="00AA6920">
        <w:rPr>
          <w:rFonts w:ascii="標楷體" w:eastAsia="標楷體" w:hAnsi="標楷體" w:hint="eastAsia"/>
          <w:sz w:val="28"/>
          <w:szCs w:val="28"/>
        </w:rPr>
        <w:t>市</w:t>
      </w:r>
      <w:r w:rsidRPr="00AA6920">
        <w:rPr>
          <w:rFonts w:ascii="標楷體" w:eastAsia="標楷體" w:hAnsi="標楷體"/>
          <w:sz w:val="28"/>
          <w:szCs w:val="28"/>
        </w:rPr>
        <w:t>)</w:t>
      </w:r>
      <w:r w:rsidRPr="00AA6920">
        <w:rPr>
          <w:rFonts w:ascii="標楷體" w:eastAsia="標楷體" w:hAnsi="標楷體" w:hint="eastAsia"/>
          <w:sz w:val="28"/>
          <w:szCs w:val="28"/>
        </w:rPr>
        <w:t>主管機關應推動國民中學學生適性輔導工作，協助並督導國民中學辦理學生適性選擇適當入學方式，並建立對學校訪視及考核機制。</w:t>
      </w:r>
    </w:p>
    <w:p w:rsidR="005862D4" w:rsidRPr="00AA6920" w:rsidRDefault="005862D4" w:rsidP="001B2AC5">
      <w:pPr>
        <w:snapToGrid w:val="0"/>
        <w:spacing w:line="240" w:lineRule="atLeast"/>
        <w:ind w:leftChars="-12" w:left="31680" w:hangingChars="652" w:firstLine="31680"/>
        <w:jc w:val="both"/>
        <w:rPr>
          <w:rFonts w:ascii="標楷體" w:eastAsia="標楷體" w:hAnsi="標楷體" w:cs="細明體"/>
          <w:kern w:val="0"/>
          <w:sz w:val="28"/>
          <w:szCs w:val="28"/>
        </w:rPr>
      </w:pPr>
      <w:r w:rsidRPr="00AA6920">
        <w:rPr>
          <w:rFonts w:ascii="標楷體" w:eastAsia="標楷體" w:hAnsi="標楷體" w:cs="細明體" w:hint="eastAsia"/>
          <w:kern w:val="0"/>
          <w:sz w:val="28"/>
          <w:szCs w:val="28"/>
        </w:rPr>
        <w:t>第二十八條</w:t>
      </w:r>
      <w:r w:rsidRPr="00AA6920">
        <w:rPr>
          <w:rFonts w:ascii="標楷體" w:eastAsia="標楷體" w:hAnsi="標楷體" w:cs="細明體"/>
          <w:kern w:val="0"/>
          <w:sz w:val="28"/>
          <w:szCs w:val="28"/>
        </w:rPr>
        <w:t xml:space="preserve">   </w:t>
      </w:r>
      <w:r w:rsidRPr="00AA6920">
        <w:rPr>
          <w:rFonts w:ascii="標楷體" w:eastAsia="標楷體" w:hAnsi="標楷體" w:cs="細明體" w:hint="eastAsia"/>
          <w:kern w:val="0"/>
          <w:sz w:val="28"/>
          <w:szCs w:val="28"/>
        </w:rPr>
        <w:t>國民中學應配合各入學委員會之招生作業，提供畢</w:t>
      </w:r>
      <w:r w:rsidRPr="00AA6920">
        <w:rPr>
          <w:rFonts w:ascii="標楷體" w:eastAsia="標楷體" w:hAnsi="標楷體" w:cs="細明體"/>
          <w:kern w:val="0"/>
          <w:sz w:val="28"/>
          <w:szCs w:val="28"/>
        </w:rPr>
        <w:t>(</w:t>
      </w:r>
      <w:r w:rsidRPr="00AA6920">
        <w:rPr>
          <w:rFonts w:ascii="標楷體" w:eastAsia="標楷體" w:hAnsi="標楷體" w:cs="細明體" w:hint="eastAsia"/>
          <w:kern w:val="0"/>
          <w:sz w:val="28"/>
          <w:szCs w:val="28"/>
        </w:rPr>
        <w:t>結</w:t>
      </w:r>
      <w:r w:rsidRPr="00AA6920">
        <w:rPr>
          <w:rFonts w:ascii="標楷體" w:eastAsia="標楷體" w:hAnsi="標楷體" w:cs="細明體"/>
          <w:kern w:val="0"/>
          <w:sz w:val="28"/>
          <w:szCs w:val="28"/>
        </w:rPr>
        <w:t>)</w:t>
      </w:r>
      <w:r w:rsidRPr="00AA6920">
        <w:rPr>
          <w:rFonts w:ascii="標楷體" w:eastAsia="標楷體" w:hAnsi="標楷體" w:cs="細明體" w:hint="eastAsia"/>
          <w:kern w:val="0"/>
          <w:sz w:val="28"/>
          <w:szCs w:val="28"/>
        </w:rPr>
        <w:t>業學生必要之協助。</w:t>
      </w:r>
    </w:p>
    <w:p w:rsidR="005862D4" w:rsidRPr="00AA6920" w:rsidRDefault="005862D4" w:rsidP="001B2AC5">
      <w:pPr>
        <w:snapToGrid w:val="0"/>
        <w:spacing w:line="240" w:lineRule="atLeast"/>
        <w:ind w:leftChars="402" w:left="31680" w:hangingChars="300" w:firstLine="31680"/>
        <w:jc w:val="both"/>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國民中學應依學生能力、性向、興趣及各項測驗結果、教師平時之觀察及試探活動紀錄，並依中央主管機關訂定之國民中學推動生涯發展教育工作手冊及國中學生生涯輔導紀錄手冊，妥善規劃學校適性輔導工作。</w:t>
      </w:r>
    </w:p>
    <w:p w:rsidR="005862D4" w:rsidRPr="00AA6920" w:rsidRDefault="005862D4" w:rsidP="001B2AC5">
      <w:pPr>
        <w:snapToGrid w:val="0"/>
        <w:spacing w:line="240" w:lineRule="atLeast"/>
        <w:ind w:leftChars="413" w:left="31680" w:hangingChars="300" w:firstLine="31680"/>
        <w:jc w:val="both"/>
        <w:rPr>
          <w:rFonts w:ascii="標楷體" w:eastAsia="標楷體" w:hAnsi="標楷體"/>
          <w:sz w:val="28"/>
          <w:szCs w:val="28"/>
        </w:rPr>
      </w:pPr>
      <w:r w:rsidRPr="00AA6920">
        <w:rPr>
          <w:rFonts w:ascii="標楷體" w:eastAsia="標楷體" w:hAnsi="標楷體"/>
          <w:sz w:val="28"/>
          <w:szCs w:val="28"/>
        </w:rPr>
        <w:t xml:space="preserve">      </w:t>
      </w:r>
      <w:r w:rsidRPr="00AA6920">
        <w:rPr>
          <w:rFonts w:ascii="標楷體" w:eastAsia="標楷體" w:hAnsi="標楷體" w:hint="eastAsia"/>
          <w:sz w:val="28"/>
          <w:szCs w:val="28"/>
        </w:rPr>
        <w:t>國民中學應於學生二年級時辦理性向測驗，三年級時辦理興趣測驗，並</w:t>
      </w:r>
      <w:bookmarkStart w:id="0" w:name="_GoBack"/>
      <w:bookmarkEnd w:id="0"/>
      <w:r w:rsidRPr="00AA6920">
        <w:rPr>
          <w:rFonts w:ascii="標楷體" w:eastAsia="標楷體" w:hAnsi="標楷體" w:hint="eastAsia"/>
          <w:sz w:val="28"/>
          <w:szCs w:val="28"/>
        </w:rPr>
        <w:t>依測驗結果提供各項試探及實作活動，於三年級下學期當年四月三十日前，提供學生及家長升學進路之參考。</w:t>
      </w:r>
    </w:p>
    <w:p w:rsidR="005862D4" w:rsidRPr="00AA6920" w:rsidRDefault="005862D4" w:rsidP="005A5516">
      <w:pPr>
        <w:snapToGrid w:val="0"/>
        <w:spacing w:line="240" w:lineRule="atLeast"/>
        <w:jc w:val="both"/>
        <w:rPr>
          <w:rFonts w:ascii="標楷體" w:eastAsia="標楷體" w:hAnsi="標楷體"/>
          <w:sz w:val="28"/>
          <w:szCs w:val="28"/>
        </w:rPr>
      </w:pPr>
      <w:r w:rsidRPr="00AA6920">
        <w:rPr>
          <w:rFonts w:ascii="標楷體" w:eastAsia="標楷體" w:hAnsi="標楷體" w:hint="eastAsia"/>
          <w:sz w:val="28"/>
          <w:szCs w:val="28"/>
        </w:rPr>
        <w:t>第二十九條</w:t>
      </w:r>
      <w:r w:rsidRPr="00AA6920">
        <w:rPr>
          <w:rFonts w:ascii="標楷體" w:eastAsia="標楷體" w:hAnsi="標楷體"/>
          <w:sz w:val="28"/>
          <w:szCs w:val="28"/>
        </w:rPr>
        <w:t xml:space="preserve">   </w:t>
      </w:r>
      <w:r w:rsidRPr="00AA6920">
        <w:rPr>
          <w:rFonts w:ascii="標楷體" w:eastAsia="標楷體" w:hAnsi="標楷體" w:hint="eastAsia"/>
          <w:sz w:val="28"/>
          <w:szCs w:val="28"/>
        </w:rPr>
        <w:t>本辦法自</w:t>
      </w:r>
      <w:smartTag w:uri="urn:schemas-microsoft-com:office:smarttags" w:element="chsdate">
        <w:smartTagPr>
          <w:attr w:name="IsROCDate" w:val="True"/>
          <w:attr w:name="IsLunarDate" w:val="False"/>
          <w:attr w:name="Day" w:val="1"/>
          <w:attr w:name="Month" w:val="9"/>
          <w:attr w:name="Year" w:val="2013"/>
        </w:smartTagPr>
        <w:r w:rsidRPr="00AA6920">
          <w:rPr>
            <w:rFonts w:ascii="標楷體" w:eastAsia="標楷體" w:hAnsi="標楷體" w:hint="eastAsia"/>
            <w:sz w:val="28"/>
            <w:szCs w:val="28"/>
          </w:rPr>
          <w:t>中華民國一百零二年九月一日</w:t>
        </w:r>
      </w:smartTag>
      <w:r w:rsidRPr="00AA6920">
        <w:rPr>
          <w:rFonts w:ascii="標楷體" w:eastAsia="標楷體" w:hAnsi="標楷體" w:hint="eastAsia"/>
          <w:sz w:val="28"/>
          <w:szCs w:val="28"/>
        </w:rPr>
        <w:t>施行。</w:t>
      </w:r>
    </w:p>
    <w:sectPr w:rsidR="005862D4" w:rsidRPr="00AA6920" w:rsidSect="00C677AB">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2D4" w:rsidRDefault="005862D4">
      <w:r>
        <w:separator/>
      </w:r>
    </w:p>
  </w:endnote>
  <w:endnote w:type="continuationSeparator" w:id="0">
    <w:p w:rsidR="005862D4" w:rsidRDefault="00586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D4" w:rsidRDefault="005862D4" w:rsidP="00720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62D4" w:rsidRDefault="005862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D4" w:rsidRDefault="005862D4" w:rsidP="00720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862D4" w:rsidRDefault="00586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2D4" w:rsidRDefault="005862D4">
      <w:r>
        <w:separator/>
      </w:r>
    </w:p>
  </w:footnote>
  <w:footnote w:type="continuationSeparator" w:id="0">
    <w:p w:rsidR="005862D4" w:rsidRDefault="00586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642"/>
    <w:multiLevelType w:val="multilevel"/>
    <w:tmpl w:val="F2983CAC"/>
    <w:lvl w:ilvl="0">
      <w:start w:val="1"/>
      <w:numFmt w:val="taiwaneseCountingThousand"/>
      <w:lvlText w:val="第%1條"/>
      <w:lvlJc w:val="left"/>
      <w:pPr>
        <w:tabs>
          <w:tab w:val="num" w:pos="720"/>
        </w:tabs>
        <w:ind w:left="720" w:hanging="7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nsid w:val="0B741BCC"/>
    <w:multiLevelType w:val="hybridMultilevel"/>
    <w:tmpl w:val="FBA0B442"/>
    <w:lvl w:ilvl="0" w:tplc="E8E2CD8A">
      <w:start w:val="4"/>
      <w:numFmt w:val="taiwaneseCountingThousand"/>
      <w:lvlText w:val="第%1條"/>
      <w:lvlJc w:val="left"/>
      <w:pPr>
        <w:tabs>
          <w:tab w:val="num" w:pos="672"/>
        </w:tabs>
        <w:ind w:left="672" w:hanging="720"/>
      </w:pPr>
      <w:rPr>
        <w:rFonts w:cs="Times New Roman" w:hint="default"/>
        <w:color w:val="000000"/>
        <w:u w:val="none"/>
      </w:rPr>
    </w:lvl>
    <w:lvl w:ilvl="1" w:tplc="04090019" w:tentative="1">
      <w:start w:val="1"/>
      <w:numFmt w:val="ideographTraditional"/>
      <w:lvlText w:val="%2、"/>
      <w:lvlJc w:val="left"/>
      <w:pPr>
        <w:tabs>
          <w:tab w:val="num" w:pos="912"/>
        </w:tabs>
        <w:ind w:left="912" w:hanging="480"/>
      </w:pPr>
      <w:rPr>
        <w:rFonts w:cs="Times New Roman"/>
      </w:rPr>
    </w:lvl>
    <w:lvl w:ilvl="2" w:tplc="0409001B" w:tentative="1">
      <w:start w:val="1"/>
      <w:numFmt w:val="lowerRoman"/>
      <w:lvlText w:val="%3."/>
      <w:lvlJc w:val="right"/>
      <w:pPr>
        <w:tabs>
          <w:tab w:val="num" w:pos="1392"/>
        </w:tabs>
        <w:ind w:left="1392" w:hanging="480"/>
      </w:pPr>
      <w:rPr>
        <w:rFonts w:cs="Times New Roman"/>
      </w:rPr>
    </w:lvl>
    <w:lvl w:ilvl="3" w:tplc="0409000F" w:tentative="1">
      <w:start w:val="1"/>
      <w:numFmt w:val="decimal"/>
      <w:lvlText w:val="%4."/>
      <w:lvlJc w:val="left"/>
      <w:pPr>
        <w:tabs>
          <w:tab w:val="num" w:pos="1872"/>
        </w:tabs>
        <w:ind w:left="1872" w:hanging="480"/>
      </w:pPr>
      <w:rPr>
        <w:rFonts w:cs="Times New Roman"/>
      </w:rPr>
    </w:lvl>
    <w:lvl w:ilvl="4" w:tplc="04090019" w:tentative="1">
      <w:start w:val="1"/>
      <w:numFmt w:val="ideographTraditional"/>
      <w:lvlText w:val="%5、"/>
      <w:lvlJc w:val="left"/>
      <w:pPr>
        <w:tabs>
          <w:tab w:val="num" w:pos="2352"/>
        </w:tabs>
        <w:ind w:left="2352" w:hanging="480"/>
      </w:pPr>
      <w:rPr>
        <w:rFonts w:cs="Times New Roman"/>
      </w:rPr>
    </w:lvl>
    <w:lvl w:ilvl="5" w:tplc="0409001B" w:tentative="1">
      <w:start w:val="1"/>
      <w:numFmt w:val="lowerRoman"/>
      <w:lvlText w:val="%6."/>
      <w:lvlJc w:val="right"/>
      <w:pPr>
        <w:tabs>
          <w:tab w:val="num" w:pos="2832"/>
        </w:tabs>
        <w:ind w:left="2832" w:hanging="480"/>
      </w:pPr>
      <w:rPr>
        <w:rFonts w:cs="Times New Roman"/>
      </w:rPr>
    </w:lvl>
    <w:lvl w:ilvl="6" w:tplc="0409000F" w:tentative="1">
      <w:start w:val="1"/>
      <w:numFmt w:val="decimal"/>
      <w:lvlText w:val="%7."/>
      <w:lvlJc w:val="left"/>
      <w:pPr>
        <w:tabs>
          <w:tab w:val="num" w:pos="3312"/>
        </w:tabs>
        <w:ind w:left="3312" w:hanging="480"/>
      </w:pPr>
      <w:rPr>
        <w:rFonts w:cs="Times New Roman"/>
      </w:rPr>
    </w:lvl>
    <w:lvl w:ilvl="7" w:tplc="04090019" w:tentative="1">
      <w:start w:val="1"/>
      <w:numFmt w:val="ideographTraditional"/>
      <w:lvlText w:val="%8、"/>
      <w:lvlJc w:val="left"/>
      <w:pPr>
        <w:tabs>
          <w:tab w:val="num" w:pos="3792"/>
        </w:tabs>
        <w:ind w:left="3792" w:hanging="480"/>
      </w:pPr>
      <w:rPr>
        <w:rFonts w:cs="Times New Roman"/>
      </w:rPr>
    </w:lvl>
    <w:lvl w:ilvl="8" w:tplc="0409001B" w:tentative="1">
      <w:start w:val="1"/>
      <w:numFmt w:val="lowerRoman"/>
      <w:lvlText w:val="%9."/>
      <w:lvlJc w:val="right"/>
      <w:pPr>
        <w:tabs>
          <w:tab w:val="num" w:pos="4272"/>
        </w:tabs>
        <w:ind w:left="4272" w:hanging="480"/>
      </w:pPr>
      <w:rPr>
        <w:rFonts w:cs="Times New Roman"/>
      </w:rPr>
    </w:lvl>
  </w:abstractNum>
  <w:abstractNum w:abstractNumId="2">
    <w:nsid w:val="1A974160"/>
    <w:multiLevelType w:val="hybridMultilevel"/>
    <w:tmpl w:val="8D022880"/>
    <w:lvl w:ilvl="0" w:tplc="FDD22E5E">
      <w:start w:val="1"/>
      <w:numFmt w:val="taiwaneseCountingThousand"/>
      <w:lvlText w:val="第%1條"/>
      <w:lvlJc w:val="left"/>
      <w:pPr>
        <w:tabs>
          <w:tab w:val="num" w:pos="540"/>
        </w:tabs>
        <w:ind w:left="540" w:hanging="720"/>
      </w:pPr>
      <w:rPr>
        <w:rFonts w:ascii="標楷體" w:eastAsia="標楷體" w:hAnsi="標楷體" w:cs="Times New Roman" w:hint="default"/>
      </w:rPr>
    </w:lvl>
    <w:lvl w:ilvl="1" w:tplc="04090019" w:tentative="1">
      <w:start w:val="1"/>
      <w:numFmt w:val="ideographTraditional"/>
      <w:lvlText w:val="%2、"/>
      <w:lvlJc w:val="left"/>
      <w:pPr>
        <w:tabs>
          <w:tab w:val="num" w:pos="780"/>
        </w:tabs>
        <w:ind w:left="780" w:hanging="480"/>
      </w:pPr>
      <w:rPr>
        <w:rFonts w:cs="Times New Roman"/>
      </w:rPr>
    </w:lvl>
    <w:lvl w:ilvl="2" w:tplc="0409001B" w:tentative="1">
      <w:start w:val="1"/>
      <w:numFmt w:val="lowerRoman"/>
      <w:lvlText w:val="%3."/>
      <w:lvlJc w:val="right"/>
      <w:pPr>
        <w:tabs>
          <w:tab w:val="num" w:pos="1260"/>
        </w:tabs>
        <w:ind w:left="1260" w:hanging="480"/>
      </w:pPr>
      <w:rPr>
        <w:rFonts w:cs="Times New Roman"/>
      </w:rPr>
    </w:lvl>
    <w:lvl w:ilvl="3" w:tplc="0409000F" w:tentative="1">
      <w:start w:val="1"/>
      <w:numFmt w:val="decimal"/>
      <w:lvlText w:val="%4."/>
      <w:lvlJc w:val="left"/>
      <w:pPr>
        <w:tabs>
          <w:tab w:val="num" w:pos="1740"/>
        </w:tabs>
        <w:ind w:left="1740" w:hanging="480"/>
      </w:pPr>
      <w:rPr>
        <w:rFonts w:cs="Times New Roman"/>
      </w:rPr>
    </w:lvl>
    <w:lvl w:ilvl="4" w:tplc="04090019" w:tentative="1">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3">
    <w:nsid w:val="1D562F00"/>
    <w:multiLevelType w:val="hybridMultilevel"/>
    <w:tmpl w:val="A6884B28"/>
    <w:lvl w:ilvl="0" w:tplc="D6701346">
      <w:start w:val="2"/>
      <w:numFmt w:val="taiwaneseCountingThousand"/>
      <w:lvlText w:val="%1、"/>
      <w:lvlJc w:val="left"/>
      <w:pPr>
        <w:tabs>
          <w:tab w:val="num" w:pos="1440"/>
        </w:tabs>
        <w:ind w:left="1440" w:hanging="48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
    <w:nsid w:val="296F2F1E"/>
    <w:multiLevelType w:val="hybridMultilevel"/>
    <w:tmpl w:val="913C1466"/>
    <w:lvl w:ilvl="0" w:tplc="0409000F">
      <w:start w:val="1"/>
      <w:numFmt w:val="decimal"/>
      <w:lvlText w:val="%1."/>
      <w:lvlJc w:val="left"/>
      <w:pPr>
        <w:tabs>
          <w:tab w:val="num" w:pos="2100"/>
        </w:tabs>
        <w:ind w:left="2100" w:hanging="480"/>
      </w:pPr>
      <w:rPr>
        <w:rFonts w:cs="Times New Roman"/>
      </w:rPr>
    </w:lvl>
    <w:lvl w:ilvl="1" w:tplc="04090019" w:tentative="1">
      <w:start w:val="1"/>
      <w:numFmt w:val="ideographTraditional"/>
      <w:lvlText w:val="%2、"/>
      <w:lvlJc w:val="left"/>
      <w:pPr>
        <w:tabs>
          <w:tab w:val="num" w:pos="2580"/>
        </w:tabs>
        <w:ind w:left="2580" w:hanging="480"/>
      </w:pPr>
      <w:rPr>
        <w:rFonts w:cs="Times New Roman"/>
      </w:rPr>
    </w:lvl>
    <w:lvl w:ilvl="2" w:tplc="0409001B" w:tentative="1">
      <w:start w:val="1"/>
      <w:numFmt w:val="lowerRoman"/>
      <w:lvlText w:val="%3."/>
      <w:lvlJc w:val="right"/>
      <w:pPr>
        <w:tabs>
          <w:tab w:val="num" w:pos="3060"/>
        </w:tabs>
        <w:ind w:left="3060" w:hanging="480"/>
      </w:pPr>
      <w:rPr>
        <w:rFonts w:cs="Times New Roman"/>
      </w:rPr>
    </w:lvl>
    <w:lvl w:ilvl="3" w:tplc="0409000F" w:tentative="1">
      <w:start w:val="1"/>
      <w:numFmt w:val="decimal"/>
      <w:lvlText w:val="%4."/>
      <w:lvlJc w:val="left"/>
      <w:pPr>
        <w:tabs>
          <w:tab w:val="num" w:pos="3540"/>
        </w:tabs>
        <w:ind w:left="3540" w:hanging="480"/>
      </w:pPr>
      <w:rPr>
        <w:rFonts w:cs="Times New Roman"/>
      </w:rPr>
    </w:lvl>
    <w:lvl w:ilvl="4" w:tplc="04090019" w:tentative="1">
      <w:start w:val="1"/>
      <w:numFmt w:val="ideographTraditional"/>
      <w:lvlText w:val="%5、"/>
      <w:lvlJc w:val="left"/>
      <w:pPr>
        <w:tabs>
          <w:tab w:val="num" w:pos="4020"/>
        </w:tabs>
        <w:ind w:left="4020" w:hanging="480"/>
      </w:pPr>
      <w:rPr>
        <w:rFonts w:cs="Times New Roman"/>
      </w:rPr>
    </w:lvl>
    <w:lvl w:ilvl="5" w:tplc="0409001B" w:tentative="1">
      <w:start w:val="1"/>
      <w:numFmt w:val="lowerRoman"/>
      <w:lvlText w:val="%6."/>
      <w:lvlJc w:val="right"/>
      <w:pPr>
        <w:tabs>
          <w:tab w:val="num" w:pos="4500"/>
        </w:tabs>
        <w:ind w:left="4500" w:hanging="480"/>
      </w:pPr>
      <w:rPr>
        <w:rFonts w:cs="Times New Roman"/>
      </w:rPr>
    </w:lvl>
    <w:lvl w:ilvl="6" w:tplc="0409000F" w:tentative="1">
      <w:start w:val="1"/>
      <w:numFmt w:val="decimal"/>
      <w:lvlText w:val="%7."/>
      <w:lvlJc w:val="left"/>
      <w:pPr>
        <w:tabs>
          <w:tab w:val="num" w:pos="4980"/>
        </w:tabs>
        <w:ind w:left="4980" w:hanging="480"/>
      </w:pPr>
      <w:rPr>
        <w:rFonts w:cs="Times New Roman"/>
      </w:rPr>
    </w:lvl>
    <w:lvl w:ilvl="7" w:tplc="04090019" w:tentative="1">
      <w:start w:val="1"/>
      <w:numFmt w:val="ideographTraditional"/>
      <w:lvlText w:val="%8、"/>
      <w:lvlJc w:val="left"/>
      <w:pPr>
        <w:tabs>
          <w:tab w:val="num" w:pos="5460"/>
        </w:tabs>
        <w:ind w:left="5460" w:hanging="480"/>
      </w:pPr>
      <w:rPr>
        <w:rFonts w:cs="Times New Roman"/>
      </w:rPr>
    </w:lvl>
    <w:lvl w:ilvl="8" w:tplc="0409001B" w:tentative="1">
      <w:start w:val="1"/>
      <w:numFmt w:val="lowerRoman"/>
      <w:lvlText w:val="%9."/>
      <w:lvlJc w:val="right"/>
      <w:pPr>
        <w:tabs>
          <w:tab w:val="num" w:pos="5940"/>
        </w:tabs>
        <w:ind w:left="5940" w:hanging="480"/>
      </w:pPr>
      <w:rPr>
        <w:rFonts w:cs="Times New Roman"/>
      </w:rPr>
    </w:lvl>
  </w:abstractNum>
  <w:abstractNum w:abstractNumId="5">
    <w:nsid w:val="2A79306C"/>
    <w:multiLevelType w:val="hybridMultilevel"/>
    <w:tmpl w:val="B6E28AD4"/>
    <w:lvl w:ilvl="0" w:tplc="FDD22E5E">
      <w:start w:val="1"/>
      <w:numFmt w:val="taiwaneseCountingThousand"/>
      <w:lvlText w:val="第%1條"/>
      <w:lvlJc w:val="left"/>
      <w:pPr>
        <w:tabs>
          <w:tab w:val="num" w:pos="720"/>
        </w:tabs>
        <w:ind w:left="720" w:hanging="720"/>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4BC23BE"/>
    <w:multiLevelType w:val="hybridMultilevel"/>
    <w:tmpl w:val="81C25E8C"/>
    <w:lvl w:ilvl="0" w:tplc="7C96EE24">
      <w:start w:val="6"/>
      <w:numFmt w:val="taiwaneseCountingThousand"/>
      <w:lvlText w:val="第%1條"/>
      <w:lvlJc w:val="left"/>
      <w:pPr>
        <w:tabs>
          <w:tab w:val="num" w:pos="855"/>
        </w:tabs>
        <w:ind w:left="855" w:hanging="855"/>
      </w:pPr>
      <w:rPr>
        <w:rFonts w:ascii="標楷體" w:eastAsia="標楷體" w:hAnsi="標楷體"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57E4521"/>
    <w:multiLevelType w:val="hybridMultilevel"/>
    <w:tmpl w:val="D0A25646"/>
    <w:lvl w:ilvl="0" w:tplc="3852026C">
      <w:start w:val="1"/>
      <w:numFmt w:val="taiwaneseCountingThousand"/>
      <w:lvlText w:val="第%1條"/>
      <w:lvlJc w:val="left"/>
      <w:pPr>
        <w:tabs>
          <w:tab w:val="num" w:pos="720"/>
        </w:tabs>
        <w:ind w:left="720" w:hanging="720"/>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47F84288"/>
    <w:multiLevelType w:val="multilevel"/>
    <w:tmpl w:val="FBA0B442"/>
    <w:lvl w:ilvl="0">
      <w:start w:val="4"/>
      <w:numFmt w:val="taiwaneseCountingThousand"/>
      <w:lvlText w:val="第%1條"/>
      <w:lvlJc w:val="left"/>
      <w:pPr>
        <w:tabs>
          <w:tab w:val="num" w:pos="672"/>
        </w:tabs>
        <w:ind w:left="672" w:hanging="720"/>
      </w:pPr>
      <w:rPr>
        <w:rFonts w:cs="Times New Roman" w:hint="default"/>
        <w:color w:val="000000"/>
        <w:u w:val="none"/>
      </w:rPr>
    </w:lvl>
    <w:lvl w:ilvl="1">
      <w:start w:val="1"/>
      <w:numFmt w:val="ideographTraditional"/>
      <w:lvlText w:val="%2、"/>
      <w:lvlJc w:val="left"/>
      <w:pPr>
        <w:tabs>
          <w:tab w:val="num" w:pos="912"/>
        </w:tabs>
        <w:ind w:left="912" w:hanging="480"/>
      </w:pPr>
      <w:rPr>
        <w:rFonts w:cs="Times New Roman"/>
      </w:rPr>
    </w:lvl>
    <w:lvl w:ilvl="2">
      <w:start w:val="1"/>
      <w:numFmt w:val="lowerRoman"/>
      <w:lvlText w:val="%3."/>
      <w:lvlJc w:val="right"/>
      <w:pPr>
        <w:tabs>
          <w:tab w:val="num" w:pos="1392"/>
        </w:tabs>
        <w:ind w:left="1392" w:hanging="480"/>
      </w:pPr>
      <w:rPr>
        <w:rFonts w:cs="Times New Roman"/>
      </w:rPr>
    </w:lvl>
    <w:lvl w:ilvl="3">
      <w:start w:val="1"/>
      <w:numFmt w:val="decimal"/>
      <w:lvlText w:val="%4."/>
      <w:lvlJc w:val="left"/>
      <w:pPr>
        <w:tabs>
          <w:tab w:val="num" w:pos="1872"/>
        </w:tabs>
        <w:ind w:left="1872" w:hanging="480"/>
      </w:pPr>
      <w:rPr>
        <w:rFonts w:cs="Times New Roman"/>
      </w:rPr>
    </w:lvl>
    <w:lvl w:ilvl="4">
      <w:start w:val="1"/>
      <w:numFmt w:val="ideographTraditional"/>
      <w:lvlText w:val="%5、"/>
      <w:lvlJc w:val="left"/>
      <w:pPr>
        <w:tabs>
          <w:tab w:val="num" w:pos="2352"/>
        </w:tabs>
        <w:ind w:left="2352" w:hanging="480"/>
      </w:pPr>
      <w:rPr>
        <w:rFonts w:cs="Times New Roman"/>
      </w:rPr>
    </w:lvl>
    <w:lvl w:ilvl="5">
      <w:start w:val="1"/>
      <w:numFmt w:val="lowerRoman"/>
      <w:lvlText w:val="%6."/>
      <w:lvlJc w:val="right"/>
      <w:pPr>
        <w:tabs>
          <w:tab w:val="num" w:pos="2832"/>
        </w:tabs>
        <w:ind w:left="2832" w:hanging="480"/>
      </w:pPr>
      <w:rPr>
        <w:rFonts w:cs="Times New Roman"/>
      </w:rPr>
    </w:lvl>
    <w:lvl w:ilvl="6">
      <w:start w:val="1"/>
      <w:numFmt w:val="decimal"/>
      <w:lvlText w:val="%7."/>
      <w:lvlJc w:val="left"/>
      <w:pPr>
        <w:tabs>
          <w:tab w:val="num" w:pos="3312"/>
        </w:tabs>
        <w:ind w:left="3312" w:hanging="480"/>
      </w:pPr>
      <w:rPr>
        <w:rFonts w:cs="Times New Roman"/>
      </w:rPr>
    </w:lvl>
    <w:lvl w:ilvl="7">
      <w:start w:val="1"/>
      <w:numFmt w:val="ideographTraditional"/>
      <w:lvlText w:val="%8、"/>
      <w:lvlJc w:val="left"/>
      <w:pPr>
        <w:tabs>
          <w:tab w:val="num" w:pos="3792"/>
        </w:tabs>
        <w:ind w:left="3792" w:hanging="480"/>
      </w:pPr>
      <w:rPr>
        <w:rFonts w:cs="Times New Roman"/>
      </w:rPr>
    </w:lvl>
    <w:lvl w:ilvl="8">
      <w:start w:val="1"/>
      <w:numFmt w:val="lowerRoman"/>
      <w:lvlText w:val="%9."/>
      <w:lvlJc w:val="right"/>
      <w:pPr>
        <w:tabs>
          <w:tab w:val="num" w:pos="4272"/>
        </w:tabs>
        <w:ind w:left="4272" w:hanging="480"/>
      </w:pPr>
      <w:rPr>
        <w:rFonts w:cs="Times New Roman"/>
      </w:rPr>
    </w:lvl>
  </w:abstractNum>
  <w:abstractNum w:abstractNumId="9">
    <w:nsid w:val="48ED65CE"/>
    <w:multiLevelType w:val="hybridMultilevel"/>
    <w:tmpl w:val="D3866884"/>
    <w:lvl w:ilvl="0" w:tplc="FDD22E5E">
      <w:start w:val="1"/>
      <w:numFmt w:val="taiwaneseCountingThousand"/>
      <w:lvlText w:val="第%1條"/>
      <w:lvlJc w:val="left"/>
      <w:pPr>
        <w:tabs>
          <w:tab w:val="num" w:pos="2130"/>
        </w:tabs>
        <w:ind w:left="2130" w:hanging="720"/>
      </w:pPr>
      <w:rPr>
        <w:rFonts w:ascii="標楷體" w:eastAsia="標楷體" w:hAnsi="標楷體" w:cs="Times New Roman" w:hint="default"/>
      </w:rPr>
    </w:lvl>
    <w:lvl w:ilvl="1" w:tplc="04090019" w:tentative="1">
      <w:start w:val="1"/>
      <w:numFmt w:val="ideographTraditional"/>
      <w:lvlText w:val="%2、"/>
      <w:lvlJc w:val="left"/>
      <w:pPr>
        <w:tabs>
          <w:tab w:val="num" w:pos="2370"/>
        </w:tabs>
        <w:ind w:left="2370" w:hanging="480"/>
      </w:pPr>
      <w:rPr>
        <w:rFonts w:cs="Times New Roman"/>
      </w:rPr>
    </w:lvl>
    <w:lvl w:ilvl="2" w:tplc="0409001B" w:tentative="1">
      <w:start w:val="1"/>
      <w:numFmt w:val="lowerRoman"/>
      <w:lvlText w:val="%3."/>
      <w:lvlJc w:val="right"/>
      <w:pPr>
        <w:tabs>
          <w:tab w:val="num" w:pos="2850"/>
        </w:tabs>
        <w:ind w:left="2850" w:hanging="480"/>
      </w:pPr>
      <w:rPr>
        <w:rFonts w:cs="Times New Roman"/>
      </w:rPr>
    </w:lvl>
    <w:lvl w:ilvl="3" w:tplc="0409000F" w:tentative="1">
      <w:start w:val="1"/>
      <w:numFmt w:val="decimal"/>
      <w:lvlText w:val="%4."/>
      <w:lvlJc w:val="left"/>
      <w:pPr>
        <w:tabs>
          <w:tab w:val="num" w:pos="3330"/>
        </w:tabs>
        <w:ind w:left="3330" w:hanging="480"/>
      </w:pPr>
      <w:rPr>
        <w:rFonts w:cs="Times New Roman"/>
      </w:rPr>
    </w:lvl>
    <w:lvl w:ilvl="4" w:tplc="04090019" w:tentative="1">
      <w:start w:val="1"/>
      <w:numFmt w:val="ideographTraditional"/>
      <w:lvlText w:val="%5、"/>
      <w:lvlJc w:val="left"/>
      <w:pPr>
        <w:tabs>
          <w:tab w:val="num" w:pos="3810"/>
        </w:tabs>
        <w:ind w:left="3810" w:hanging="480"/>
      </w:pPr>
      <w:rPr>
        <w:rFonts w:cs="Times New Roman"/>
      </w:rPr>
    </w:lvl>
    <w:lvl w:ilvl="5" w:tplc="0409001B" w:tentative="1">
      <w:start w:val="1"/>
      <w:numFmt w:val="lowerRoman"/>
      <w:lvlText w:val="%6."/>
      <w:lvlJc w:val="right"/>
      <w:pPr>
        <w:tabs>
          <w:tab w:val="num" w:pos="4290"/>
        </w:tabs>
        <w:ind w:left="4290" w:hanging="480"/>
      </w:pPr>
      <w:rPr>
        <w:rFonts w:cs="Times New Roman"/>
      </w:rPr>
    </w:lvl>
    <w:lvl w:ilvl="6" w:tplc="0409000F" w:tentative="1">
      <w:start w:val="1"/>
      <w:numFmt w:val="decimal"/>
      <w:lvlText w:val="%7."/>
      <w:lvlJc w:val="left"/>
      <w:pPr>
        <w:tabs>
          <w:tab w:val="num" w:pos="4770"/>
        </w:tabs>
        <w:ind w:left="4770" w:hanging="480"/>
      </w:pPr>
      <w:rPr>
        <w:rFonts w:cs="Times New Roman"/>
      </w:rPr>
    </w:lvl>
    <w:lvl w:ilvl="7" w:tplc="04090019" w:tentative="1">
      <w:start w:val="1"/>
      <w:numFmt w:val="ideographTraditional"/>
      <w:lvlText w:val="%8、"/>
      <w:lvlJc w:val="left"/>
      <w:pPr>
        <w:tabs>
          <w:tab w:val="num" w:pos="5250"/>
        </w:tabs>
        <w:ind w:left="5250" w:hanging="480"/>
      </w:pPr>
      <w:rPr>
        <w:rFonts w:cs="Times New Roman"/>
      </w:rPr>
    </w:lvl>
    <w:lvl w:ilvl="8" w:tplc="0409001B" w:tentative="1">
      <w:start w:val="1"/>
      <w:numFmt w:val="lowerRoman"/>
      <w:lvlText w:val="%9."/>
      <w:lvlJc w:val="right"/>
      <w:pPr>
        <w:tabs>
          <w:tab w:val="num" w:pos="5730"/>
        </w:tabs>
        <w:ind w:left="5730" w:hanging="480"/>
      </w:pPr>
      <w:rPr>
        <w:rFonts w:cs="Times New Roman"/>
      </w:rPr>
    </w:lvl>
  </w:abstractNum>
  <w:abstractNum w:abstractNumId="10">
    <w:nsid w:val="4D4920C3"/>
    <w:multiLevelType w:val="hybridMultilevel"/>
    <w:tmpl w:val="033EAD2A"/>
    <w:lvl w:ilvl="0" w:tplc="4AA65164">
      <w:start w:val="8"/>
      <w:numFmt w:val="taiwaneseCountingThousand"/>
      <w:lvlText w:val="第%1條"/>
      <w:lvlJc w:val="left"/>
      <w:pPr>
        <w:tabs>
          <w:tab w:val="num" w:pos="612"/>
        </w:tabs>
        <w:ind w:left="612" w:hanging="720"/>
      </w:pPr>
      <w:rPr>
        <w:rFonts w:cs="Times New Roman" w:hint="default"/>
      </w:rPr>
    </w:lvl>
    <w:lvl w:ilvl="1" w:tplc="04090019" w:tentative="1">
      <w:start w:val="1"/>
      <w:numFmt w:val="ideographTraditional"/>
      <w:lvlText w:val="%2、"/>
      <w:lvlJc w:val="left"/>
      <w:pPr>
        <w:tabs>
          <w:tab w:val="num" w:pos="852"/>
        </w:tabs>
        <w:ind w:left="852" w:hanging="480"/>
      </w:pPr>
      <w:rPr>
        <w:rFonts w:cs="Times New Roman"/>
      </w:rPr>
    </w:lvl>
    <w:lvl w:ilvl="2" w:tplc="0409001B" w:tentative="1">
      <w:start w:val="1"/>
      <w:numFmt w:val="lowerRoman"/>
      <w:lvlText w:val="%3."/>
      <w:lvlJc w:val="right"/>
      <w:pPr>
        <w:tabs>
          <w:tab w:val="num" w:pos="1332"/>
        </w:tabs>
        <w:ind w:left="1332" w:hanging="480"/>
      </w:pPr>
      <w:rPr>
        <w:rFonts w:cs="Times New Roman"/>
      </w:rPr>
    </w:lvl>
    <w:lvl w:ilvl="3" w:tplc="0409000F" w:tentative="1">
      <w:start w:val="1"/>
      <w:numFmt w:val="decimal"/>
      <w:lvlText w:val="%4."/>
      <w:lvlJc w:val="left"/>
      <w:pPr>
        <w:tabs>
          <w:tab w:val="num" w:pos="1812"/>
        </w:tabs>
        <w:ind w:left="1812" w:hanging="480"/>
      </w:pPr>
      <w:rPr>
        <w:rFonts w:cs="Times New Roman"/>
      </w:rPr>
    </w:lvl>
    <w:lvl w:ilvl="4" w:tplc="04090019" w:tentative="1">
      <w:start w:val="1"/>
      <w:numFmt w:val="ideographTraditional"/>
      <w:lvlText w:val="%5、"/>
      <w:lvlJc w:val="left"/>
      <w:pPr>
        <w:tabs>
          <w:tab w:val="num" w:pos="2292"/>
        </w:tabs>
        <w:ind w:left="2292" w:hanging="480"/>
      </w:pPr>
      <w:rPr>
        <w:rFonts w:cs="Times New Roman"/>
      </w:rPr>
    </w:lvl>
    <w:lvl w:ilvl="5" w:tplc="0409001B" w:tentative="1">
      <w:start w:val="1"/>
      <w:numFmt w:val="lowerRoman"/>
      <w:lvlText w:val="%6."/>
      <w:lvlJc w:val="right"/>
      <w:pPr>
        <w:tabs>
          <w:tab w:val="num" w:pos="2772"/>
        </w:tabs>
        <w:ind w:left="2772" w:hanging="480"/>
      </w:pPr>
      <w:rPr>
        <w:rFonts w:cs="Times New Roman"/>
      </w:rPr>
    </w:lvl>
    <w:lvl w:ilvl="6" w:tplc="0409000F" w:tentative="1">
      <w:start w:val="1"/>
      <w:numFmt w:val="decimal"/>
      <w:lvlText w:val="%7."/>
      <w:lvlJc w:val="left"/>
      <w:pPr>
        <w:tabs>
          <w:tab w:val="num" w:pos="3252"/>
        </w:tabs>
        <w:ind w:left="3252" w:hanging="480"/>
      </w:pPr>
      <w:rPr>
        <w:rFonts w:cs="Times New Roman"/>
      </w:rPr>
    </w:lvl>
    <w:lvl w:ilvl="7" w:tplc="04090019" w:tentative="1">
      <w:start w:val="1"/>
      <w:numFmt w:val="ideographTraditional"/>
      <w:lvlText w:val="%8、"/>
      <w:lvlJc w:val="left"/>
      <w:pPr>
        <w:tabs>
          <w:tab w:val="num" w:pos="3732"/>
        </w:tabs>
        <w:ind w:left="3732" w:hanging="480"/>
      </w:pPr>
      <w:rPr>
        <w:rFonts w:cs="Times New Roman"/>
      </w:rPr>
    </w:lvl>
    <w:lvl w:ilvl="8" w:tplc="0409001B" w:tentative="1">
      <w:start w:val="1"/>
      <w:numFmt w:val="lowerRoman"/>
      <w:lvlText w:val="%9."/>
      <w:lvlJc w:val="right"/>
      <w:pPr>
        <w:tabs>
          <w:tab w:val="num" w:pos="4212"/>
        </w:tabs>
        <w:ind w:left="4212" w:hanging="480"/>
      </w:pPr>
      <w:rPr>
        <w:rFonts w:cs="Times New Roman"/>
      </w:rPr>
    </w:lvl>
  </w:abstractNum>
  <w:abstractNum w:abstractNumId="11">
    <w:nsid w:val="56F672E7"/>
    <w:multiLevelType w:val="hybridMultilevel"/>
    <w:tmpl w:val="A6848F78"/>
    <w:lvl w:ilvl="0" w:tplc="E7F66DC2">
      <w:start w:val="1"/>
      <w:numFmt w:val="taiwaneseCountingThousand"/>
      <w:lvlText w:val="%1、"/>
      <w:lvlJc w:val="left"/>
      <w:pPr>
        <w:tabs>
          <w:tab w:val="num" w:pos="312"/>
        </w:tabs>
        <w:ind w:left="31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5A2C24B0"/>
    <w:multiLevelType w:val="hybridMultilevel"/>
    <w:tmpl w:val="502AB8E0"/>
    <w:lvl w:ilvl="0" w:tplc="FDD22E5E">
      <w:start w:val="1"/>
      <w:numFmt w:val="taiwaneseCountingThousand"/>
      <w:lvlText w:val="第%1條"/>
      <w:lvlJc w:val="left"/>
      <w:pPr>
        <w:tabs>
          <w:tab w:val="num" w:pos="972"/>
        </w:tabs>
        <w:ind w:left="972" w:hanging="720"/>
      </w:pPr>
      <w:rPr>
        <w:rFonts w:ascii="標楷體" w:eastAsia="標楷體" w:hAnsi="標楷體" w:cs="Times New Roman" w:hint="default"/>
      </w:rPr>
    </w:lvl>
    <w:lvl w:ilvl="1" w:tplc="04090019" w:tentative="1">
      <w:start w:val="1"/>
      <w:numFmt w:val="ideographTraditional"/>
      <w:lvlText w:val="%2、"/>
      <w:lvlJc w:val="left"/>
      <w:pPr>
        <w:tabs>
          <w:tab w:val="num" w:pos="1212"/>
        </w:tabs>
        <w:ind w:left="1212" w:hanging="480"/>
      </w:pPr>
      <w:rPr>
        <w:rFonts w:cs="Times New Roman"/>
      </w:rPr>
    </w:lvl>
    <w:lvl w:ilvl="2" w:tplc="0409001B" w:tentative="1">
      <w:start w:val="1"/>
      <w:numFmt w:val="lowerRoman"/>
      <w:lvlText w:val="%3."/>
      <w:lvlJc w:val="right"/>
      <w:pPr>
        <w:tabs>
          <w:tab w:val="num" w:pos="1692"/>
        </w:tabs>
        <w:ind w:left="1692" w:hanging="480"/>
      </w:pPr>
      <w:rPr>
        <w:rFonts w:cs="Times New Roman"/>
      </w:rPr>
    </w:lvl>
    <w:lvl w:ilvl="3" w:tplc="0409000F" w:tentative="1">
      <w:start w:val="1"/>
      <w:numFmt w:val="decimal"/>
      <w:lvlText w:val="%4."/>
      <w:lvlJc w:val="left"/>
      <w:pPr>
        <w:tabs>
          <w:tab w:val="num" w:pos="2172"/>
        </w:tabs>
        <w:ind w:left="2172" w:hanging="480"/>
      </w:pPr>
      <w:rPr>
        <w:rFonts w:cs="Times New Roman"/>
      </w:rPr>
    </w:lvl>
    <w:lvl w:ilvl="4" w:tplc="04090019" w:tentative="1">
      <w:start w:val="1"/>
      <w:numFmt w:val="ideographTraditional"/>
      <w:lvlText w:val="%5、"/>
      <w:lvlJc w:val="left"/>
      <w:pPr>
        <w:tabs>
          <w:tab w:val="num" w:pos="2652"/>
        </w:tabs>
        <w:ind w:left="2652" w:hanging="480"/>
      </w:pPr>
      <w:rPr>
        <w:rFonts w:cs="Times New Roman"/>
      </w:rPr>
    </w:lvl>
    <w:lvl w:ilvl="5" w:tplc="0409001B" w:tentative="1">
      <w:start w:val="1"/>
      <w:numFmt w:val="lowerRoman"/>
      <w:lvlText w:val="%6."/>
      <w:lvlJc w:val="right"/>
      <w:pPr>
        <w:tabs>
          <w:tab w:val="num" w:pos="3132"/>
        </w:tabs>
        <w:ind w:left="3132" w:hanging="480"/>
      </w:pPr>
      <w:rPr>
        <w:rFonts w:cs="Times New Roman"/>
      </w:rPr>
    </w:lvl>
    <w:lvl w:ilvl="6" w:tplc="0409000F" w:tentative="1">
      <w:start w:val="1"/>
      <w:numFmt w:val="decimal"/>
      <w:lvlText w:val="%7."/>
      <w:lvlJc w:val="left"/>
      <w:pPr>
        <w:tabs>
          <w:tab w:val="num" w:pos="3612"/>
        </w:tabs>
        <w:ind w:left="3612" w:hanging="480"/>
      </w:pPr>
      <w:rPr>
        <w:rFonts w:cs="Times New Roman"/>
      </w:rPr>
    </w:lvl>
    <w:lvl w:ilvl="7" w:tplc="04090019" w:tentative="1">
      <w:start w:val="1"/>
      <w:numFmt w:val="ideographTraditional"/>
      <w:lvlText w:val="%8、"/>
      <w:lvlJc w:val="left"/>
      <w:pPr>
        <w:tabs>
          <w:tab w:val="num" w:pos="4092"/>
        </w:tabs>
        <w:ind w:left="4092" w:hanging="480"/>
      </w:pPr>
      <w:rPr>
        <w:rFonts w:cs="Times New Roman"/>
      </w:rPr>
    </w:lvl>
    <w:lvl w:ilvl="8" w:tplc="0409001B" w:tentative="1">
      <w:start w:val="1"/>
      <w:numFmt w:val="lowerRoman"/>
      <w:lvlText w:val="%9."/>
      <w:lvlJc w:val="right"/>
      <w:pPr>
        <w:tabs>
          <w:tab w:val="num" w:pos="4572"/>
        </w:tabs>
        <w:ind w:left="4572" w:hanging="480"/>
      </w:pPr>
      <w:rPr>
        <w:rFonts w:cs="Times New Roman"/>
      </w:rPr>
    </w:lvl>
  </w:abstractNum>
  <w:abstractNum w:abstractNumId="13">
    <w:nsid w:val="5B3E1517"/>
    <w:multiLevelType w:val="hybridMultilevel"/>
    <w:tmpl w:val="C8BA2FBE"/>
    <w:lvl w:ilvl="0" w:tplc="8D8EE7E4">
      <w:start w:val="9"/>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ED4406C"/>
    <w:multiLevelType w:val="hybridMultilevel"/>
    <w:tmpl w:val="6C70907E"/>
    <w:lvl w:ilvl="0" w:tplc="FDD22E5E">
      <w:start w:val="1"/>
      <w:numFmt w:val="taiwaneseCountingThousand"/>
      <w:lvlText w:val="第%1條"/>
      <w:lvlJc w:val="left"/>
      <w:pPr>
        <w:tabs>
          <w:tab w:val="num" w:pos="972"/>
        </w:tabs>
        <w:ind w:left="972" w:hanging="720"/>
      </w:pPr>
      <w:rPr>
        <w:rFonts w:ascii="標楷體" w:eastAsia="標楷體" w:hAnsi="標楷體" w:cs="Times New Roman" w:hint="default"/>
      </w:rPr>
    </w:lvl>
    <w:lvl w:ilvl="1" w:tplc="04090019" w:tentative="1">
      <w:start w:val="1"/>
      <w:numFmt w:val="ideographTraditional"/>
      <w:lvlText w:val="%2、"/>
      <w:lvlJc w:val="left"/>
      <w:pPr>
        <w:tabs>
          <w:tab w:val="num" w:pos="1212"/>
        </w:tabs>
        <w:ind w:left="1212" w:hanging="480"/>
      </w:pPr>
      <w:rPr>
        <w:rFonts w:cs="Times New Roman"/>
      </w:rPr>
    </w:lvl>
    <w:lvl w:ilvl="2" w:tplc="0409001B" w:tentative="1">
      <w:start w:val="1"/>
      <w:numFmt w:val="lowerRoman"/>
      <w:lvlText w:val="%3."/>
      <w:lvlJc w:val="right"/>
      <w:pPr>
        <w:tabs>
          <w:tab w:val="num" w:pos="1692"/>
        </w:tabs>
        <w:ind w:left="1692" w:hanging="480"/>
      </w:pPr>
      <w:rPr>
        <w:rFonts w:cs="Times New Roman"/>
      </w:rPr>
    </w:lvl>
    <w:lvl w:ilvl="3" w:tplc="0409000F" w:tentative="1">
      <w:start w:val="1"/>
      <w:numFmt w:val="decimal"/>
      <w:lvlText w:val="%4."/>
      <w:lvlJc w:val="left"/>
      <w:pPr>
        <w:tabs>
          <w:tab w:val="num" w:pos="2172"/>
        </w:tabs>
        <w:ind w:left="2172" w:hanging="480"/>
      </w:pPr>
      <w:rPr>
        <w:rFonts w:cs="Times New Roman"/>
      </w:rPr>
    </w:lvl>
    <w:lvl w:ilvl="4" w:tplc="04090019" w:tentative="1">
      <w:start w:val="1"/>
      <w:numFmt w:val="ideographTraditional"/>
      <w:lvlText w:val="%5、"/>
      <w:lvlJc w:val="left"/>
      <w:pPr>
        <w:tabs>
          <w:tab w:val="num" w:pos="2652"/>
        </w:tabs>
        <w:ind w:left="2652" w:hanging="480"/>
      </w:pPr>
      <w:rPr>
        <w:rFonts w:cs="Times New Roman"/>
      </w:rPr>
    </w:lvl>
    <w:lvl w:ilvl="5" w:tplc="0409001B" w:tentative="1">
      <w:start w:val="1"/>
      <w:numFmt w:val="lowerRoman"/>
      <w:lvlText w:val="%6."/>
      <w:lvlJc w:val="right"/>
      <w:pPr>
        <w:tabs>
          <w:tab w:val="num" w:pos="3132"/>
        </w:tabs>
        <w:ind w:left="3132" w:hanging="480"/>
      </w:pPr>
      <w:rPr>
        <w:rFonts w:cs="Times New Roman"/>
      </w:rPr>
    </w:lvl>
    <w:lvl w:ilvl="6" w:tplc="0409000F" w:tentative="1">
      <w:start w:val="1"/>
      <w:numFmt w:val="decimal"/>
      <w:lvlText w:val="%7."/>
      <w:lvlJc w:val="left"/>
      <w:pPr>
        <w:tabs>
          <w:tab w:val="num" w:pos="3612"/>
        </w:tabs>
        <w:ind w:left="3612" w:hanging="480"/>
      </w:pPr>
      <w:rPr>
        <w:rFonts w:cs="Times New Roman"/>
      </w:rPr>
    </w:lvl>
    <w:lvl w:ilvl="7" w:tplc="04090019" w:tentative="1">
      <w:start w:val="1"/>
      <w:numFmt w:val="ideographTraditional"/>
      <w:lvlText w:val="%8、"/>
      <w:lvlJc w:val="left"/>
      <w:pPr>
        <w:tabs>
          <w:tab w:val="num" w:pos="4092"/>
        </w:tabs>
        <w:ind w:left="4092" w:hanging="480"/>
      </w:pPr>
      <w:rPr>
        <w:rFonts w:cs="Times New Roman"/>
      </w:rPr>
    </w:lvl>
    <w:lvl w:ilvl="8" w:tplc="0409001B" w:tentative="1">
      <w:start w:val="1"/>
      <w:numFmt w:val="lowerRoman"/>
      <w:lvlText w:val="%9."/>
      <w:lvlJc w:val="right"/>
      <w:pPr>
        <w:tabs>
          <w:tab w:val="num" w:pos="4572"/>
        </w:tabs>
        <w:ind w:left="4572" w:hanging="480"/>
      </w:pPr>
      <w:rPr>
        <w:rFonts w:cs="Times New Roman"/>
      </w:rPr>
    </w:lvl>
  </w:abstractNum>
  <w:abstractNum w:abstractNumId="15">
    <w:nsid w:val="6F2C3F30"/>
    <w:multiLevelType w:val="hybridMultilevel"/>
    <w:tmpl w:val="B4B2A5AE"/>
    <w:lvl w:ilvl="0" w:tplc="0409000F">
      <w:start w:val="1"/>
      <w:numFmt w:val="decimal"/>
      <w:lvlText w:val="%1."/>
      <w:lvlJc w:val="left"/>
      <w:pPr>
        <w:tabs>
          <w:tab w:val="num" w:pos="2100"/>
        </w:tabs>
        <w:ind w:left="2100" w:hanging="480"/>
      </w:pPr>
      <w:rPr>
        <w:rFonts w:cs="Times New Roman"/>
      </w:rPr>
    </w:lvl>
    <w:lvl w:ilvl="1" w:tplc="04090019" w:tentative="1">
      <w:start w:val="1"/>
      <w:numFmt w:val="ideographTraditional"/>
      <w:lvlText w:val="%2、"/>
      <w:lvlJc w:val="left"/>
      <w:pPr>
        <w:tabs>
          <w:tab w:val="num" w:pos="2580"/>
        </w:tabs>
        <w:ind w:left="2580" w:hanging="480"/>
      </w:pPr>
      <w:rPr>
        <w:rFonts w:cs="Times New Roman"/>
      </w:rPr>
    </w:lvl>
    <w:lvl w:ilvl="2" w:tplc="0409001B" w:tentative="1">
      <w:start w:val="1"/>
      <w:numFmt w:val="lowerRoman"/>
      <w:lvlText w:val="%3."/>
      <w:lvlJc w:val="right"/>
      <w:pPr>
        <w:tabs>
          <w:tab w:val="num" w:pos="3060"/>
        </w:tabs>
        <w:ind w:left="3060" w:hanging="480"/>
      </w:pPr>
      <w:rPr>
        <w:rFonts w:cs="Times New Roman"/>
      </w:rPr>
    </w:lvl>
    <w:lvl w:ilvl="3" w:tplc="0409000F" w:tentative="1">
      <w:start w:val="1"/>
      <w:numFmt w:val="decimal"/>
      <w:lvlText w:val="%4."/>
      <w:lvlJc w:val="left"/>
      <w:pPr>
        <w:tabs>
          <w:tab w:val="num" w:pos="3540"/>
        </w:tabs>
        <w:ind w:left="3540" w:hanging="480"/>
      </w:pPr>
      <w:rPr>
        <w:rFonts w:cs="Times New Roman"/>
      </w:rPr>
    </w:lvl>
    <w:lvl w:ilvl="4" w:tplc="04090019" w:tentative="1">
      <w:start w:val="1"/>
      <w:numFmt w:val="ideographTraditional"/>
      <w:lvlText w:val="%5、"/>
      <w:lvlJc w:val="left"/>
      <w:pPr>
        <w:tabs>
          <w:tab w:val="num" w:pos="4020"/>
        </w:tabs>
        <w:ind w:left="4020" w:hanging="480"/>
      </w:pPr>
      <w:rPr>
        <w:rFonts w:cs="Times New Roman"/>
      </w:rPr>
    </w:lvl>
    <w:lvl w:ilvl="5" w:tplc="0409001B" w:tentative="1">
      <w:start w:val="1"/>
      <w:numFmt w:val="lowerRoman"/>
      <w:lvlText w:val="%6."/>
      <w:lvlJc w:val="right"/>
      <w:pPr>
        <w:tabs>
          <w:tab w:val="num" w:pos="4500"/>
        </w:tabs>
        <w:ind w:left="4500" w:hanging="480"/>
      </w:pPr>
      <w:rPr>
        <w:rFonts w:cs="Times New Roman"/>
      </w:rPr>
    </w:lvl>
    <w:lvl w:ilvl="6" w:tplc="0409000F" w:tentative="1">
      <w:start w:val="1"/>
      <w:numFmt w:val="decimal"/>
      <w:lvlText w:val="%7."/>
      <w:lvlJc w:val="left"/>
      <w:pPr>
        <w:tabs>
          <w:tab w:val="num" w:pos="4980"/>
        </w:tabs>
        <w:ind w:left="4980" w:hanging="480"/>
      </w:pPr>
      <w:rPr>
        <w:rFonts w:cs="Times New Roman"/>
      </w:rPr>
    </w:lvl>
    <w:lvl w:ilvl="7" w:tplc="04090019" w:tentative="1">
      <w:start w:val="1"/>
      <w:numFmt w:val="ideographTraditional"/>
      <w:lvlText w:val="%8、"/>
      <w:lvlJc w:val="left"/>
      <w:pPr>
        <w:tabs>
          <w:tab w:val="num" w:pos="5460"/>
        </w:tabs>
        <w:ind w:left="5460" w:hanging="480"/>
      </w:pPr>
      <w:rPr>
        <w:rFonts w:cs="Times New Roman"/>
      </w:rPr>
    </w:lvl>
    <w:lvl w:ilvl="8" w:tplc="0409001B" w:tentative="1">
      <w:start w:val="1"/>
      <w:numFmt w:val="lowerRoman"/>
      <w:lvlText w:val="%9."/>
      <w:lvlJc w:val="right"/>
      <w:pPr>
        <w:tabs>
          <w:tab w:val="num" w:pos="5940"/>
        </w:tabs>
        <w:ind w:left="5940" w:hanging="480"/>
      </w:pPr>
      <w:rPr>
        <w:rFonts w:cs="Times New Roman"/>
      </w:rPr>
    </w:lvl>
  </w:abstractNum>
  <w:abstractNum w:abstractNumId="16">
    <w:nsid w:val="72A43D5E"/>
    <w:multiLevelType w:val="hybridMultilevel"/>
    <w:tmpl w:val="DD1071E4"/>
    <w:lvl w:ilvl="0" w:tplc="FDD22E5E">
      <w:start w:val="1"/>
      <w:numFmt w:val="taiwaneseCountingThousand"/>
      <w:lvlText w:val="第%1條"/>
      <w:lvlJc w:val="left"/>
      <w:pPr>
        <w:tabs>
          <w:tab w:val="num" w:pos="972"/>
        </w:tabs>
        <w:ind w:left="972" w:hanging="720"/>
      </w:pPr>
      <w:rPr>
        <w:rFonts w:ascii="標楷體" w:eastAsia="標楷體" w:hAnsi="標楷體" w:cs="Times New Roman" w:hint="default"/>
      </w:rPr>
    </w:lvl>
    <w:lvl w:ilvl="1" w:tplc="04090019" w:tentative="1">
      <w:start w:val="1"/>
      <w:numFmt w:val="ideographTraditional"/>
      <w:lvlText w:val="%2、"/>
      <w:lvlJc w:val="left"/>
      <w:pPr>
        <w:tabs>
          <w:tab w:val="num" w:pos="1212"/>
        </w:tabs>
        <w:ind w:left="1212" w:hanging="480"/>
      </w:pPr>
      <w:rPr>
        <w:rFonts w:cs="Times New Roman"/>
      </w:rPr>
    </w:lvl>
    <w:lvl w:ilvl="2" w:tplc="0409001B" w:tentative="1">
      <w:start w:val="1"/>
      <w:numFmt w:val="lowerRoman"/>
      <w:lvlText w:val="%3."/>
      <w:lvlJc w:val="right"/>
      <w:pPr>
        <w:tabs>
          <w:tab w:val="num" w:pos="1692"/>
        </w:tabs>
        <w:ind w:left="1692" w:hanging="480"/>
      </w:pPr>
      <w:rPr>
        <w:rFonts w:cs="Times New Roman"/>
      </w:rPr>
    </w:lvl>
    <w:lvl w:ilvl="3" w:tplc="0409000F" w:tentative="1">
      <w:start w:val="1"/>
      <w:numFmt w:val="decimal"/>
      <w:lvlText w:val="%4."/>
      <w:lvlJc w:val="left"/>
      <w:pPr>
        <w:tabs>
          <w:tab w:val="num" w:pos="2172"/>
        </w:tabs>
        <w:ind w:left="2172" w:hanging="480"/>
      </w:pPr>
      <w:rPr>
        <w:rFonts w:cs="Times New Roman"/>
      </w:rPr>
    </w:lvl>
    <w:lvl w:ilvl="4" w:tplc="04090019" w:tentative="1">
      <w:start w:val="1"/>
      <w:numFmt w:val="ideographTraditional"/>
      <w:lvlText w:val="%5、"/>
      <w:lvlJc w:val="left"/>
      <w:pPr>
        <w:tabs>
          <w:tab w:val="num" w:pos="2652"/>
        </w:tabs>
        <w:ind w:left="2652" w:hanging="480"/>
      </w:pPr>
      <w:rPr>
        <w:rFonts w:cs="Times New Roman"/>
      </w:rPr>
    </w:lvl>
    <w:lvl w:ilvl="5" w:tplc="0409001B" w:tentative="1">
      <w:start w:val="1"/>
      <w:numFmt w:val="lowerRoman"/>
      <w:lvlText w:val="%6."/>
      <w:lvlJc w:val="right"/>
      <w:pPr>
        <w:tabs>
          <w:tab w:val="num" w:pos="3132"/>
        </w:tabs>
        <w:ind w:left="3132" w:hanging="480"/>
      </w:pPr>
      <w:rPr>
        <w:rFonts w:cs="Times New Roman"/>
      </w:rPr>
    </w:lvl>
    <w:lvl w:ilvl="6" w:tplc="0409000F" w:tentative="1">
      <w:start w:val="1"/>
      <w:numFmt w:val="decimal"/>
      <w:lvlText w:val="%7."/>
      <w:lvlJc w:val="left"/>
      <w:pPr>
        <w:tabs>
          <w:tab w:val="num" w:pos="3612"/>
        </w:tabs>
        <w:ind w:left="3612" w:hanging="480"/>
      </w:pPr>
      <w:rPr>
        <w:rFonts w:cs="Times New Roman"/>
      </w:rPr>
    </w:lvl>
    <w:lvl w:ilvl="7" w:tplc="04090019" w:tentative="1">
      <w:start w:val="1"/>
      <w:numFmt w:val="ideographTraditional"/>
      <w:lvlText w:val="%8、"/>
      <w:lvlJc w:val="left"/>
      <w:pPr>
        <w:tabs>
          <w:tab w:val="num" w:pos="4092"/>
        </w:tabs>
        <w:ind w:left="4092" w:hanging="480"/>
      </w:pPr>
      <w:rPr>
        <w:rFonts w:cs="Times New Roman"/>
      </w:rPr>
    </w:lvl>
    <w:lvl w:ilvl="8" w:tplc="0409001B" w:tentative="1">
      <w:start w:val="1"/>
      <w:numFmt w:val="lowerRoman"/>
      <w:lvlText w:val="%9."/>
      <w:lvlJc w:val="right"/>
      <w:pPr>
        <w:tabs>
          <w:tab w:val="num" w:pos="4572"/>
        </w:tabs>
        <w:ind w:left="4572" w:hanging="480"/>
      </w:pPr>
      <w:rPr>
        <w:rFonts w:cs="Times New Roman"/>
      </w:rPr>
    </w:lvl>
  </w:abstractNum>
  <w:abstractNum w:abstractNumId="17">
    <w:nsid w:val="74CB5E90"/>
    <w:multiLevelType w:val="hybridMultilevel"/>
    <w:tmpl w:val="77FEB14C"/>
    <w:lvl w:ilvl="0" w:tplc="E10A00EA">
      <w:start w:val="7"/>
      <w:numFmt w:val="taiwaneseCountingThousand"/>
      <w:lvlText w:val="第%1條"/>
      <w:lvlJc w:val="left"/>
      <w:pPr>
        <w:tabs>
          <w:tab w:val="num" w:pos="552"/>
        </w:tabs>
        <w:ind w:left="552" w:hanging="720"/>
      </w:pPr>
      <w:rPr>
        <w:rFonts w:ascii="Times New Roman" w:eastAsia="標楷體" w:hAnsi="標楷體" w:cs="Times New Roman" w:hint="default"/>
      </w:rPr>
    </w:lvl>
    <w:lvl w:ilvl="1" w:tplc="04090019" w:tentative="1">
      <w:start w:val="1"/>
      <w:numFmt w:val="ideographTraditional"/>
      <w:lvlText w:val="%2、"/>
      <w:lvlJc w:val="left"/>
      <w:pPr>
        <w:tabs>
          <w:tab w:val="num" w:pos="792"/>
        </w:tabs>
        <w:ind w:left="792" w:hanging="480"/>
      </w:pPr>
      <w:rPr>
        <w:rFonts w:cs="Times New Roman"/>
      </w:rPr>
    </w:lvl>
    <w:lvl w:ilvl="2" w:tplc="0409001B" w:tentative="1">
      <w:start w:val="1"/>
      <w:numFmt w:val="lowerRoman"/>
      <w:lvlText w:val="%3."/>
      <w:lvlJc w:val="right"/>
      <w:pPr>
        <w:tabs>
          <w:tab w:val="num" w:pos="1272"/>
        </w:tabs>
        <w:ind w:left="1272" w:hanging="480"/>
      </w:pPr>
      <w:rPr>
        <w:rFonts w:cs="Times New Roman"/>
      </w:rPr>
    </w:lvl>
    <w:lvl w:ilvl="3" w:tplc="0409000F" w:tentative="1">
      <w:start w:val="1"/>
      <w:numFmt w:val="decimal"/>
      <w:lvlText w:val="%4."/>
      <w:lvlJc w:val="left"/>
      <w:pPr>
        <w:tabs>
          <w:tab w:val="num" w:pos="1752"/>
        </w:tabs>
        <w:ind w:left="1752" w:hanging="480"/>
      </w:pPr>
      <w:rPr>
        <w:rFonts w:cs="Times New Roman"/>
      </w:rPr>
    </w:lvl>
    <w:lvl w:ilvl="4" w:tplc="04090019" w:tentative="1">
      <w:start w:val="1"/>
      <w:numFmt w:val="ideographTraditional"/>
      <w:lvlText w:val="%5、"/>
      <w:lvlJc w:val="left"/>
      <w:pPr>
        <w:tabs>
          <w:tab w:val="num" w:pos="2232"/>
        </w:tabs>
        <w:ind w:left="2232" w:hanging="480"/>
      </w:pPr>
      <w:rPr>
        <w:rFonts w:cs="Times New Roman"/>
      </w:rPr>
    </w:lvl>
    <w:lvl w:ilvl="5" w:tplc="0409001B" w:tentative="1">
      <w:start w:val="1"/>
      <w:numFmt w:val="lowerRoman"/>
      <w:lvlText w:val="%6."/>
      <w:lvlJc w:val="right"/>
      <w:pPr>
        <w:tabs>
          <w:tab w:val="num" w:pos="2712"/>
        </w:tabs>
        <w:ind w:left="2712" w:hanging="480"/>
      </w:pPr>
      <w:rPr>
        <w:rFonts w:cs="Times New Roman"/>
      </w:rPr>
    </w:lvl>
    <w:lvl w:ilvl="6" w:tplc="0409000F" w:tentative="1">
      <w:start w:val="1"/>
      <w:numFmt w:val="decimal"/>
      <w:lvlText w:val="%7."/>
      <w:lvlJc w:val="left"/>
      <w:pPr>
        <w:tabs>
          <w:tab w:val="num" w:pos="3192"/>
        </w:tabs>
        <w:ind w:left="3192" w:hanging="480"/>
      </w:pPr>
      <w:rPr>
        <w:rFonts w:cs="Times New Roman"/>
      </w:rPr>
    </w:lvl>
    <w:lvl w:ilvl="7" w:tplc="04090019" w:tentative="1">
      <w:start w:val="1"/>
      <w:numFmt w:val="ideographTraditional"/>
      <w:lvlText w:val="%8、"/>
      <w:lvlJc w:val="left"/>
      <w:pPr>
        <w:tabs>
          <w:tab w:val="num" w:pos="3672"/>
        </w:tabs>
        <w:ind w:left="3672" w:hanging="480"/>
      </w:pPr>
      <w:rPr>
        <w:rFonts w:cs="Times New Roman"/>
      </w:rPr>
    </w:lvl>
    <w:lvl w:ilvl="8" w:tplc="0409001B" w:tentative="1">
      <w:start w:val="1"/>
      <w:numFmt w:val="lowerRoman"/>
      <w:lvlText w:val="%9."/>
      <w:lvlJc w:val="right"/>
      <w:pPr>
        <w:tabs>
          <w:tab w:val="num" w:pos="4152"/>
        </w:tabs>
        <w:ind w:left="4152" w:hanging="480"/>
      </w:pPr>
      <w:rPr>
        <w:rFonts w:cs="Times New Roman"/>
      </w:rPr>
    </w:lvl>
  </w:abstractNum>
  <w:abstractNum w:abstractNumId="18">
    <w:nsid w:val="78C32015"/>
    <w:multiLevelType w:val="hybridMultilevel"/>
    <w:tmpl w:val="5E0A191A"/>
    <w:lvl w:ilvl="0" w:tplc="29D2B58C">
      <w:start w:val="2"/>
      <w:numFmt w:val="taiwaneseCountingThousand"/>
      <w:lvlText w:val="%1、"/>
      <w:lvlJc w:val="left"/>
      <w:pPr>
        <w:tabs>
          <w:tab w:val="num" w:pos="2567"/>
        </w:tabs>
        <w:ind w:left="2567" w:hanging="720"/>
      </w:pPr>
      <w:rPr>
        <w:rFonts w:cs="Times New Roman" w:hint="default"/>
      </w:rPr>
    </w:lvl>
    <w:lvl w:ilvl="1" w:tplc="04090019" w:tentative="1">
      <w:start w:val="1"/>
      <w:numFmt w:val="ideographTraditional"/>
      <w:lvlText w:val="%2、"/>
      <w:lvlJc w:val="left"/>
      <w:pPr>
        <w:tabs>
          <w:tab w:val="num" w:pos="2807"/>
        </w:tabs>
        <w:ind w:left="2807" w:hanging="480"/>
      </w:pPr>
      <w:rPr>
        <w:rFonts w:cs="Times New Roman"/>
      </w:rPr>
    </w:lvl>
    <w:lvl w:ilvl="2" w:tplc="0409001B" w:tentative="1">
      <w:start w:val="1"/>
      <w:numFmt w:val="lowerRoman"/>
      <w:lvlText w:val="%3."/>
      <w:lvlJc w:val="right"/>
      <w:pPr>
        <w:tabs>
          <w:tab w:val="num" w:pos="3287"/>
        </w:tabs>
        <w:ind w:left="3287" w:hanging="480"/>
      </w:pPr>
      <w:rPr>
        <w:rFonts w:cs="Times New Roman"/>
      </w:rPr>
    </w:lvl>
    <w:lvl w:ilvl="3" w:tplc="0409000F" w:tentative="1">
      <w:start w:val="1"/>
      <w:numFmt w:val="decimal"/>
      <w:lvlText w:val="%4."/>
      <w:lvlJc w:val="left"/>
      <w:pPr>
        <w:tabs>
          <w:tab w:val="num" w:pos="3767"/>
        </w:tabs>
        <w:ind w:left="3767" w:hanging="480"/>
      </w:pPr>
      <w:rPr>
        <w:rFonts w:cs="Times New Roman"/>
      </w:rPr>
    </w:lvl>
    <w:lvl w:ilvl="4" w:tplc="04090019" w:tentative="1">
      <w:start w:val="1"/>
      <w:numFmt w:val="ideographTraditional"/>
      <w:lvlText w:val="%5、"/>
      <w:lvlJc w:val="left"/>
      <w:pPr>
        <w:tabs>
          <w:tab w:val="num" w:pos="4247"/>
        </w:tabs>
        <w:ind w:left="4247" w:hanging="480"/>
      </w:pPr>
      <w:rPr>
        <w:rFonts w:cs="Times New Roman"/>
      </w:rPr>
    </w:lvl>
    <w:lvl w:ilvl="5" w:tplc="0409001B" w:tentative="1">
      <w:start w:val="1"/>
      <w:numFmt w:val="lowerRoman"/>
      <w:lvlText w:val="%6."/>
      <w:lvlJc w:val="right"/>
      <w:pPr>
        <w:tabs>
          <w:tab w:val="num" w:pos="4727"/>
        </w:tabs>
        <w:ind w:left="4727" w:hanging="480"/>
      </w:pPr>
      <w:rPr>
        <w:rFonts w:cs="Times New Roman"/>
      </w:rPr>
    </w:lvl>
    <w:lvl w:ilvl="6" w:tplc="0409000F" w:tentative="1">
      <w:start w:val="1"/>
      <w:numFmt w:val="decimal"/>
      <w:lvlText w:val="%7."/>
      <w:lvlJc w:val="left"/>
      <w:pPr>
        <w:tabs>
          <w:tab w:val="num" w:pos="5207"/>
        </w:tabs>
        <w:ind w:left="5207" w:hanging="480"/>
      </w:pPr>
      <w:rPr>
        <w:rFonts w:cs="Times New Roman"/>
      </w:rPr>
    </w:lvl>
    <w:lvl w:ilvl="7" w:tplc="04090019" w:tentative="1">
      <w:start w:val="1"/>
      <w:numFmt w:val="ideographTraditional"/>
      <w:lvlText w:val="%8、"/>
      <w:lvlJc w:val="left"/>
      <w:pPr>
        <w:tabs>
          <w:tab w:val="num" w:pos="5687"/>
        </w:tabs>
        <w:ind w:left="5687" w:hanging="480"/>
      </w:pPr>
      <w:rPr>
        <w:rFonts w:cs="Times New Roman"/>
      </w:rPr>
    </w:lvl>
    <w:lvl w:ilvl="8" w:tplc="0409001B" w:tentative="1">
      <w:start w:val="1"/>
      <w:numFmt w:val="lowerRoman"/>
      <w:lvlText w:val="%9."/>
      <w:lvlJc w:val="right"/>
      <w:pPr>
        <w:tabs>
          <w:tab w:val="num" w:pos="6167"/>
        </w:tabs>
        <w:ind w:left="6167" w:hanging="480"/>
      </w:pPr>
      <w:rPr>
        <w:rFonts w:cs="Times New Roman"/>
      </w:rPr>
    </w:lvl>
  </w:abstractNum>
  <w:abstractNum w:abstractNumId="19">
    <w:nsid w:val="7AC77A72"/>
    <w:multiLevelType w:val="hybridMultilevel"/>
    <w:tmpl w:val="5B80DBAA"/>
    <w:lvl w:ilvl="0" w:tplc="8FD090CE">
      <w:start w:val="1"/>
      <w:numFmt w:val="taiwaneseCountingThousand"/>
      <w:lvlText w:val="第%1條"/>
      <w:lvlJc w:val="left"/>
      <w:pPr>
        <w:tabs>
          <w:tab w:val="num" w:pos="432"/>
        </w:tabs>
        <w:ind w:left="432" w:hanging="720"/>
      </w:pPr>
      <w:rPr>
        <w:rFonts w:cs="Times New Roman" w:hint="default"/>
      </w:rPr>
    </w:lvl>
    <w:lvl w:ilvl="1" w:tplc="04090019" w:tentative="1">
      <w:start w:val="1"/>
      <w:numFmt w:val="ideographTraditional"/>
      <w:lvlText w:val="%2、"/>
      <w:lvlJc w:val="left"/>
      <w:pPr>
        <w:tabs>
          <w:tab w:val="num" w:pos="672"/>
        </w:tabs>
        <w:ind w:left="672" w:hanging="480"/>
      </w:pPr>
      <w:rPr>
        <w:rFonts w:cs="Times New Roman"/>
      </w:rPr>
    </w:lvl>
    <w:lvl w:ilvl="2" w:tplc="0409001B" w:tentative="1">
      <w:start w:val="1"/>
      <w:numFmt w:val="lowerRoman"/>
      <w:lvlText w:val="%3."/>
      <w:lvlJc w:val="right"/>
      <w:pPr>
        <w:tabs>
          <w:tab w:val="num" w:pos="1152"/>
        </w:tabs>
        <w:ind w:left="1152" w:hanging="480"/>
      </w:pPr>
      <w:rPr>
        <w:rFonts w:cs="Times New Roman"/>
      </w:rPr>
    </w:lvl>
    <w:lvl w:ilvl="3" w:tplc="0409000F" w:tentative="1">
      <w:start w:val="1"/>
      <w:numFmt w:val="decimal"/>
      <w:lvlText w:val="%4."/>
      <w:lvlJc w:val="left"/>
      <w:pPr>
        <w:tabs>
          <w:tab w:val="num" w:pos="1632"/>
        </w:tabs>
        <w:ind w:left="1632" w:hanging="480"/>
      </w:pPr>
      <w:rPr>
        <w:rFonts w:cs="Times New Roman"/>
      </w:rPr>
    </w:lvl>
    <w:lvl w:ilvl="4" w:tplc="04090019" w:tentative="1">
      <w:start w:val="1"/>
      <w:numFmt w:val="ideographTraditional"/>
      <w:lvlText w:val="%5、"/>
      <w:lvlJc w:val="left"/>
      <w:pPr>
        <w:tabs>
          <w:tab w:val="num" w:pos="2112"/>
        </w:tabs>
        <w:ind w:left="2112" w:hanging="480"/>
      </w:pPr>
      <w:rPr>
        <w:rFonts w:cs="Times New Roman"/>
      </w:rPr>
    </w:lvl>
    <w:lvl w:ilvl="5" w:tplc="0409001B" w:tentative="1">
      <w:start w:val="1"/>
      <w:numFmt w:val="lowerRoman"/>
      <w:lvlText w:val="%6."/>
      <w:lvlJc w:val="right"/>
      <w:pPr>
        <w:tabs>
          <w:tab w:val="num" w:pos="2592"/>
        </w:tabs>
        <w:ind w:left="2592" w:hanging="480"/>
      </w:pPr>
      <w:rPr>
        <w:rFonts w:cs="Times New Roman"/>
      </w:rPr>
    </w:lvl>
    <w:lvl w:ilvl="6" w:tplc="0409000F" w:tentative="1">
      <w:start w:val="1"/>
      <w:numFmt w:val="decimal"/>
      <w:lvlText w:val="%7."/>
      <w:lvlJc w:val="left"/>
      <w:pPr>
        <w:tabs>
          <w:tab w:val="num" w:pos="3072"/>
        </w:tabs>
        <w:ind w:left="3072" w:hanging="480"/>
      </w:pPr>
      <w:rPr>
        <w:rFonts w:cs="Times New Roman"/>
      </w:rPr>
    </w:lvl>
    <w:lvl w:ilvl="7" w:tplc="04090019" w:tentative="1">
      <w:start w:val="1"/>
      <w:numFmt w:val="ideographTraditional"/>
      <w:lvlText w:val="%8、"/>
      <w:lvlJc w:val="left"/>
      <w:pPr>
        <w:tabs>
          <w:tab w:val="num" w:pos="3552"/>
        </w:tabs>
        <w:ind w:left="3552" w:hanging="480"/>
      </w:pPr>
      <w:rPr>
        <w:rFonts w:cs="Times New Roman"/>
      </w:rPr>
    </w:lvl>
    <w:lvl w:ilvl="8" w:tplc="0409001B" w:tentative="1">
      <w:start w:val="1"/>
      <w:numFmt w:val="lowerRoman"/>
      <w:lvlText w:val="%9."/>
      <w:lvlJc w:val="right"/>
      <w:pPr>
        <w:tabs>
          <w:tab w:val="num" w:pos="4032"/>
        </w:tabs>
        <w:ind w:left="4032" w:hanging="480"/>
      </w:pPr>
      <w:rPr>
        <w:rFonts w:cs="Times New Roman"/>
      </w:rPr>
    </w:lvl>
  </w:abstractNum>
  <w:abstractNum w:abstractNumId="20">
    <w:nsid w:val="7AEE4CF9"/>
    <w:multiLevelType w:val="multilevel"/>
    <w:tmpl w:val="BA68A73E"/>
    <w:lvl w:ilvl="0">
      <w:start w:val="1"/>
      <w:numFmt w:val="taiwaneseCountingThousand"/>
      <w:lvlText w:val="第%1條"/>
      <w:lvlJc w:val="left"/>
      <w:pPr>
        <w:tabs>
          <w:tab w:val="num" w:pos="720"/>
        </w:tabs>
        <w:ind w:left="720" w:hanging="720"/>
      </w:pPr>
      <w:rPr>
        <w:rFonts w:ascii="標楷體" w:eastAsia="標楷體" w:hAnsi="標楷體"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7"/>
  </w:num>
  <w:num w:numId="2">
    <w:abstractNumId w:val="1"/>
  </w:num>
  <w:num w:numId="3">
    <w:abstractNumId w:val="19"/>
  </w:num>
  <w:num w:numId="4">
    <w:abstractNumId w:val="0"/>
  </w:num>
  <w:num w:numId="5">
    <w:abstractNumId w:val="8"/>
  </w:num>
  <w:num w:numId="6">
    <w:abstractNumId w:val="17"/>
  </w:num>
  <w:num w:numId="7">
    <w:abstractNumId w:val="10"/>
  </w:num>
  <w:num w:numId="8">
    <w:abstractNumId w:val="2"/>
  </w:num>
  <w:num w:numId="9">
    <w:abstractNumId w:val="12"/>
  </w:num>
  <w:num w:numId="10">
    <w:abstractNumId w:val="14"/>
  </w:num>
  <w:num w:numId="11">
    <w:abstractNumId w:val="20"/>
  </w:num>
  <w:num w:numId="12">
    <w:abstractNumId w:val="5"/>
  </w:num>
  <w:num w:numId="13">
    <w:abstractNumId w:val="16"/>
  </w:num>
  <w:num w:numId="14">
    <w:abstractNumId w:val="9"/>
  </w:num>
  <w:num w:numId="15">
    <w:abstractNumId w:val="6"/>
  </w:num>
  <w:num w:numId="16">
    <w:abstractNumId w:val="11"/>
  </w:num>
  <w:num w:numId="17">
    <w:abstractNumId w:val="4"/>
  </w:num>
  <w:num w:numId="18">
    <w:abstractNumId w:val="15"/>
  </w:num>
  <w:num w:numId="19">
    <w:abstractNumId w:val="13"/>
  </w:num>
  <w:num w:numId="20">
    <w:abstractNumId w:val="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D3E"/>
    <w:rsid w:val="000069D2"/>
    <w:rsid w:val="00006BE4"/>
    <w:rsid w:val="00016873"/>
    <w:rsid w:val="0002485D"/>
    <w:rsid w:val="00030088"/>
    <w:rsid w:val="00043086"/>
    <w:rsid w:val="00065691"/>
    <w:rsid w:val="00066E02"/>
    <w:rsid w:val="0007174E"/>
    <w:rsid w:val="00080DF7"/>
    <w:rsid w:val="00083E8D"/>
    <w:rsid w:val="000A040B"/>
    <w:rsid w:val="000F27B4"/>
    <w:rsid w:val="00104EF3"/>
    <w:rsid w:val="00117515"/>
    <w:rsid w:val="00123C86"/>
    <w:rsid w:val="00134B17"/>
    <w:rsid w:val="00155BC6"/>
    <w:rsid w:val="00184950"/>
    <w:rsid w:val="001B2AC5"/>
    <w:rsid w:val="001B796F"/>
    <w:rsid w:val="001C0B18"/>
    <w:rsid w:val="001D2BFA"/>
    <w:rsid w:val="001F7D00"/>
    <w:rsid w:val="00212F6F"/>
    <w:rsid w:val="00237C02"/>
    <w:rsid w:val="00252CD3"/>
    <w:rsid w:val="0029781B"/>
    <w:rsid w:val="002A04F6"/>
    <w:rsid w:val="002A71B9"/>
    <w:rsid w:val="002B31F1"/>
    <w:rsid w:val="003576AB"/>
    <w:rsid w:val="00375341"/>
    <w:rsid w:val="003756D1"/>
    <w:rsid w:val="00395569"/>
    <w:rsid w:val="003C2D58"/>
    <w:rsid w:val="003C7603"/>
    <w:rsid w:val="003E6DC2"/>
    <w:rsid w:val="003F335D"/>
    <w:rsid w:val="003F5687"/>
    <w:rsid w:val="00432FF3"/>
    <w:rsid w:val="00473554"/>
    <w:rsid w:val="004946F4"/>
    <w:rsid w:val="004B1473"/>
    <w:rsid w:val="004B1BBD"/>
    <w:rsid w:val="00505D31"/>
    <w:rsid w:val="00521F9C"/>
    <w:rsid w:val="005423EA"/>
    <w:rsid w:val="005475CF"/>
    <w:rsid w:val="005862D4"/>
    <w:rsid w:val="00596427"/>
    <w:rsid w:val="005A5516"/>
    <w:rsid w:val="005C2557"/>
    <w:rsid w:val="005E0E12"/>
    <w:rsid w:val="006335F0"/>
    <w:rsid w:val="00645A27"/>
    <w:rsid w:val="0065469D"/>
    <w:rsid w:val="00662D4F"/>
    <w:rsid w:val="006737E6"/>
    <w:rsid w:val="00675CEA"/>
    <w:rsid w:val="006E78B2"/>
    <w:rsid w:val="006F105C"/>
    <w:rsid w:val="007208B8"/>
    <w:rsid w:val="007761CB"/>
    <w:rsid w:val="007E3125"/>
    <w:rsid w:val="007E4BB3"/>
    <w:rsid w:val="00807F4F"/>
    <w:rsid w:val="0083181E"/>
    <w:rsid w:val="00854534"/>
    <w:rsid w:val="00866ACA"/>
    <w:rsid w:val="00873A27"/>
    <w:rsid w:val="00883CCB"/>
    <w:rsid w:val="008878CD"/>
    <w:rsid w:val="008B458D"/>
    <w:rsid w:val="008F7682"/>
    <w:rsid w:val="00917106"/>
    <w:rsid w:val="00917D6C"/>
    <w:rsid w:val="00925D6B"/>
    <w:rsid w:val="0095052D"/>
    <w:rsid w:val="00976271"/>
    <w:rsid w:val="00985336"/>
    <w:rsid w:val="009A45B0"/>
    <w:rsid w:val="009A640F"/>
    <w:rsid w:val="009A7508"/>
    <w:rsid w:val="009C0A82"/>
    <w:rsid w:val="009C1F00"/>
    <w:rsid w:val="009D0A24"/>
    <w:rsid w:val="009D5DE8"/>
    <w:rsid w:val="00A103AD"/>
    <w:rsid w:val="00A353D3"/>
    <w:rsid w:val="00A42838"/>
    <w:rsid w:val="00A478F1"/>
    <w:rsid w:val="00A543C4"/>
    <w:rsid w:val="00A57928"/>
    <w:rsid w:val="00A61BE5"/>
    <w:rsid w:val="00A87844"/>
    <w:rsid w:val="00AA6920"/>
    <w:rsid w:val="00AC6C47"/>
    <w:rsid w:val="00B3103D"/>
    <w:rsid w:val="00B44525"/>
    <w:rsid w:val="00B848A9"/>
    <w:rsid w:val="00B94BEB"/>
    <w:rsid w:val="00BC0F45"/>
    <w:rsid w:val="00BD6EAC"/>
    <w:rsid w:val="00BF2D18"/>
    <w:rsid w:val="00C03CB7"/>
    <w:rsid w:val="00C03E69"/>
    <w:rsid w:val="00C13270"/>
    <w:rsid w:val="00C169CE"/>
    <w:rsid w:val="00C40733"/>
    <w:rsid w:val="00C5299E"/>
    <w:rsid w:val="00C56D45"/>
    <w:rsid w:val="00C66F8A"/>
    <w:rsid w:val="00C677AB"/>
    <w:rsid w:val="00C87FB9"/>
    <w:rsid w:val="00CA1607"/>
    <w:rsid w:val="00D05844"/>
    <w:rsid w:val="00D25BE5"/>
    <w:rsid w:val="00D351A2"/>
    <w:rsid w:val="00D44BC7"/>
    <w:rsid w:val="00D668DF"/>
    <w:rsid w:val="00DA583E"/>
    <w:rsid w:val="00DC3D3E"/>
    <w:rsid w:val="00DC7FEF"/>
    <w:rsid w:val="00DD36A4"/>
    <w:rsid w:val="00DE4156"/>
    <w:rsid w:val="00DF6FD9"/>
    <w:rsid w:val="00E04F07"/>
    <w:rsid w:val="00E14650"/>
    <w:rsid w:val="00E20D00"/>
    <w:rsid w:val="00E24AA8"/>
    <w:rsid w:val="00E32E00"/>
    <w:rsid w:val="00E40F79"/>
    <w:rsid w:val="00E41BC5"/>
    <w:rsid w:val="00E56DE2"/>
    <w:rsid w:val="00E64F06"/>
    <w:rsid w:val="00E669BD"/>
    <w:rsid w:val="00E94D0E"/>
    <w:rsid w:val="00EC3793"/>
    <w:rsid w:val="00EC5CC5"/>
    <w:rsid w:val="00EF7CE4"/>
    <w:rsid w:val="00F33D32"/>
    <w:rsid w:val="00F526A2"/>
    <w:rsid w:val="00F53424"/>
    <w:rsid w:val="00F61ADD"/>
    <w:rsid w:val="00F83C29"/>
    <w:rsid w:val="00F94C44"/>
    <w:rsid w:val="00FA4100"/>
    <w:rsid w:val="00FA75EA"/>
    <w:rsid w:val="00FB3419"/>
    <w:rsid w:val="00FB4BB0"/>
    <w:rsid w:val="00FC14A1"/>
    <w:rsid w:val="00FD120C"/>
    <w:rsid w:val="00FD4E56"/>
    <w:rsid w:val="00FF31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3E"/>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DC3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locked/>
    <w:rsid w:val="006737E6"/>
    <w:rPr>
      <w:rFonts w:ascii="細明體" w:eastAsia="細明體" w:hAnsi="細明體" w:cs="Times New Roman"/>
      <w:sz w:val="24"/>
      <w:lang w:val="en-US" w:eastAsia="zh-TW"/>
    </w:rPr>
  </w:style>
  <w:style w:type="paragraph" w:styleId="BodyTextIndent3">
    <w:name w:val="Body Text Indent 3"/>
    <w:basedOn w:val="Normal"/>
    <w:link w:val="BodyTextIndent3Char"/>
    <w:uiPriority w:val="99"/>
    <w:rsid w:val="006737E6"/>
    <w:pPr>
      <w:spacing w:line="400" w:lineRule="exact"/>
      <w:ind w:leftChars="100" w:left="612" w:hangingChars="155" w:hanging="372"/>
      <w:jc w:val="both"/>
    </w:pPr>
    <w:rPr>
      <w:rFonts w:ascii="標楷體" w:eastAsia="標楷體" w:hAnsi="標楷體"/>
    </w:rPr>
  </w:style>
  <w:style w:type="character" w:customStyle="1" w:styleId="BodyTextIndent3Char">
    <w:name w:val="Body Text Indent 3 Char"/>
    <w:basedOn w:val="DefaultParagraphFont"/>
    <w:link w:val="BodyTextIndent3"/>
    <w:uiPriority w:val="99"/>
    <w:semiHidden/>
    <w:locked/>
    <w:rsid w:val="006737E6"/>
    <w:rPr>
      <w:rFonts w:ascii="標楷體" w:eastAsia="標楷體" w:hAnsi="標楷體" w:cs="Times New Roman"/>
      <w:kern w:val="2"/>
      <w:sz w:val="24"/>
      <w:lang w:val="en-US" w:eastAsia="zh-TW"/>
    </w:rPr>
  </w:style>
  <w:style w:type="paragraph" w:styleId="Footer">
    <w:name w:val="footer"/>
    <w:basedOn w:val="Normal"/>
    <w:link w:val="FooterChar"/>
    <w:uiPriority w:val="99"/>
    <w:rsid w:val="00A543C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D668DF"/>
    <w:rPr>
      <w:rFonts w:cs="Times New Roman"/>
      <w:sz w:val="20"/>
      <w:szCs w:val="20"/>
    </w:rPr>
  </w:style>
  <w:style w:type="character" w:styleId="PageNumber">
    <w:name w:val="page number"/>
    <w:basedOn w:val="DefaultParagraphFont"/>
    <w:uiPriority w:val="99"/>
    <w:rsid w:val="00A543C4"/>
    <w:rPr>
      <w:rFonts w:cs="Times New Roman"/>
    </w:rPr>
  </w:style>
  <w:style w:type="paragraph" w:styleId="Header">
    <w:name w:val="header"/>
    <w:basedOn w:val="Normal"/>
    <w:link w:val="HeaderChar"/>
    <w:uiPriority w:val="99"/>
    <w:rsid w:val="003F568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F5687"/>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8</Pages>
  <Words>890</Words>
  <Characters>5074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高級中等學校多元入學招生辦法</dc:title>
  <dc:subject/>
  <dc:creator>moejsmpc</dc:creator>
  <cp:keywords/>
  <dc:description/>
  <cp:lastModifiedBy>.</cp:lastModifiedBy>
  <cp:revision>6</cp:revision>
  <cp:lastPrinted>2010-08-20T07:09:00Z</cp:lastPrinted>
  <dcterms:created xsi:type="dcterms:W3CDTF">2013-08-23T06:02:00Z</dcterms:created>
  <dcterms:modified xsi:type="dcterms:W3CDTF">2013-09-06T07:39:00Z</dcterms:modified>
</cp:coreProperties>
</file>